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2079"/>
      </w:tblGrid>
      <w:tr w:rsidR="00F41EF9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__утв_2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18.03.2016 № 216</w:t>
            </w:r>
          </w:p>
        </w:tc>
      </w:tr>
    </w:tbl>
    <w:p w:rsidR="00F41EF9" w:rsidRDefault="00F41EF9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A0_ПОЛ__2CN__заг_утв_2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порядке согласования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 документации для строительства источников тепловой и электрической энергии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bookmarkStart w:id="2" w:name="CA0_ПОЛ__2_П_1_1CN__point_1"/>
      <w:bookmarkEnd w:id="2"/>
      <w:r>
        <w:rPr>
          <w:lang w:val="ru-RU" w:eastAsia="ru-RU" w:bidi="ar-SA"/>
        </w:rPr>
        <w:t xml:space="preserve">1. Настоящим Положением определяется порядок согласования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 xml:space="preserve">) документации для строительства источников тепловой и электрической энергии (далее – </w:t>
      </w:r>
      <w:proofErr w:type="spellStart"/>
      <w:r>
        <w:rPr>
          <w:lang w:val="ru-RU" w:eastAsia="ru-RU" w:bidi="ar-SA"/>
        </w:rPr>
        <w:t>предпроектная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предынвестиционная</w:t>
      </w:r>
      <w:proofErr w:type="spellEnd"/>
      <w:r>
        <w:rPr>
          <w:lang w:val="ru-RU" w:eastAsia="ru-RU" w:bidi="ar-SA"/>
        </w:rPr>
        <w:t>) документация).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2. Застройщиками, заказчиками строительства источников тепловой и электрической энергии осуществляется согласование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документации:</w:t>
      </w:r>
    </w:p>
    <w:p w:rsidR="00423623" w:rsidRDefault="00423623" w:rsidP="00423623">
      <w:pPr>
        <w:pStyle w:val="under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>2.1. с Департаментом по энергоэффективности Государственного комитета по стандартизации – для строительства источников электрической энергии мощностью более 3 МВт, источников с комбинированной выработкой энергии электрической мощностью более 3 МВт, источников тепловой энергии производительностью более 10 Гкал/ч;</w:t>
      </w:r>
    </w:p>
    <w:p w:rsidR="00423623" w:rsidRDefault="00423623" w:rsidP="00423623">
      <w:pPr>
        <w:pStyle w:val="under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>2.2. с областными, Минским городским управлениями по надзору за рациональным использованием топливно-энергетических ресурсов Государственного комитета по стандартизации – для строительства источников электрической энергии мощностью 3 МВт и менее, источников с комбинированной выработкой энергии электрической мощностью 3 МВт и менее, источников тепловой энергии производительностью от 500 кВт до 10 Гкал/ч включительно.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3. Для согласования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 застройщиками, заказчиками строительства источников тепловой и электрической энергии – юридическими лицами и индивидуальными предпринимателями представляются следующие документы:</w:t>
      </w:r>
    </w:p>
    <w:p w:rsidR="00423623" w:rsidRDefault="00423623" w:rsidP="00423623">
      <w:pPr>
        <w:pStyle w:val="newncpi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>заявление;</w:t>
      </w:r>
    </w:p>
    <w:p w:rsidR="00423623" w:rsidRDefault="00423623" w:rsidP="00423623">
      <w:pPr>
        <w:pStyle w:val="newncpi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обоснование инвестиций, технико-экономическое обоснование, задание на проектирование (в случае, если разработка указанных документов требуется в составе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документации).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4. При рассмотрении документов, представленных для согласования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документации, Департаментом по энергоэффективности Государственного комитета по стандартизации или областными, Минским городским управлениями по надзору за рациональным использованием топливно-энергетических ресурсов названного Комитета принимаются решения:</w:t>
      </w:r>
    </w:p>
    <w:p w:rsidR="00423623" w:rsidRDefault="00423623" w:rsidP="00423623">
      <w:pPr>
        <w:pStyle w:val="newncpi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об отказе в принятии заявления о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документации;</w:t>
      </w:r>
    </w:p>
    <w:p w:rsidR="00423623" w:rsidRDefault="00423623" w:rsidP="00423623">
      <w:pPr>
        <w:pStyle w:val="newncpi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о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документации;</w:t>
      </w:r>
    </w:p>
    <w:p w:rsidR="00423623" w:rsidRDefault="00423623" w:rsidP="00423623">
      <w:pPr>
        <w:pStyle w:val="newncpi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lastRenderedPageBreak/>
        <w:t xml:space="preserve">об отказе в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5. Решение об отказе в принятии заявления о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 xml:space="preserve">) документации или отказе в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 принимается в соответствии со сроками и при наличии оснований, предусмотренных законодательством об административных процедурах.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6. Обжалование решения об отказе в принятии заявления о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 xml:space="preserve">) документации или отказе в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 и подача административной жалобы осуществляются в соответствии с законодательством об административных процедурах.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7. Решение о 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 подписывается руководителем или заместителем руководителя Департамента по энергоэффективности Государственного комитета по стандартизации или областного, Минского городского управлений по надзору за рациональным использованием топливно-энергетических ресурсов названного Комитета.</w:t>
      </w:r>
    </w:p>
    <w:p w:rsidR="00423623" w:rsidRDefault="00423623" w:rsidP="00423623">
      <w:pPr>
        <w:pStyle w:val="point"/>
        <w:spacing w:before="180"/>
        <w:rPr>
          <w:lang w:val="ru-RU" w:eastAsia="ru-RU" w:bidi="ar-SA"/>
        </w:rPr>
      </w:pPr>
      <w:r>
        <w:rPr>
          <w:lang w:val="ru-RU" w:eastAsia="ru-RU" w:bidi="ar-SA"/>
        </w:rPr>
        <w:t xml:space="preserve">8. Срок действия решения о согласовании </w:t>
      </w:r>
      <w:proofErr w:type="spellStart"/>
      <w:r>
        <w:rPr>
          <w:lang w:val="ru-RU" w:eastAsia="ru-RU" w:bidi="ar-SA"/>
        </w:rPr>
        <w:t>предпроектной</w:t>
      </w:r>
      <w:proofErr w:type="spellEnd"/>
      <w:r>
        <w:rPr>
          <w:lang w:val="ru-RU" w:eastAsia="ru-RU" w:bidi="ar-SA"/>
        </w:rPr>
        <w:t xml:space="preserve"> (</w:t>
      </w:r>
      <w:proofErr w:type="spellStart"/>
      <w:r>
        <w:rPr>
          <w:lang w:val="ru-RU" w:eastAsia="ru-RU" w:bidi="ar-SA"/>
        </w:rPr>
        <w:t>предынвестиционной</w:t>
      </w:r>
      <w:proofErr w:type="spellEnd"/>
      <w:r>
        <w:rPr>
          <w:lang w:val="ru-RU" w:eastAsia="ru-RU" w:bidi="ar-SA"/>
        </w:rPr>
        <w:t>) документации ограничивается сроком проектной продолжительности строительства объекта, увеличенным на один год.</w:t>
      </w:r>
    </w:p>
    <w:p w:rsidR="009260FA" w:rsidRPr="00423623" w:rsidRDefault="009260FA" w:rsidP="0042362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lang w:val="ru-RU"/>
        </w:rPr>
      </w:pPr>
      <w:bookmarkStart w:id="3" w:name="_GoBack"/>
      <w:bookmarkEnd w:id="3"/>
    </w:p>
    <w:sectPr w:rsidR="009260FA" w:rsidRPr="00423623" w:rsidSect="0008586D">
      <w:headerReference w:type="default" r:id="rId6"/>
      <w:footerReference w:type="default" r:id="rId7"/>
      <w:pgSz w:w="11906" w:h="16838"/>
      <w:pgMar w:top="1134" w:right="850" w:bottom="1134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DF" w:rsidRDefault="001055DF" w:rsidP="0008586D">
      <w:pPr>
        <w:spacing w:after="0" w:line="240" w:lineRule="auto"/>
      </w:pPr>
      <w:r>
        <w:separator/>
      </w:r>
    </w:p>
  </w:endnote>
  <w:endnote w:type="continuationSeparator" w:id="0">
    <w:p w:rsidR="001055DF" w:rsidRDefault="001055DF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F41EF9" w:rsidTr="00F41EF9">
      <w:tc>
        <w:tcPr>
          <w:tcW w:w="1813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F41EF9" w:rsidRPr="009D179B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DF" w:rsidRDefault="001055DF" w:rsidP="0008586D">
      <w:pPr>
        <w:spacing w:after="0" w:line="240" w:lineRule="auto"/>
      </w:pPr>
      <w:r>
        <w:separator/>
      </w:r>
    </w:p>
  </w:footnote>
  <w:footnote w:type="continuationSeparator" w:id="0">
    <w:p w:rsidR="001055DF" w:rsidRDefault="001055DF" w:rsidP="0008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F41EF9" w:rsidTr="00F41EF9">
      <w:tc>
        <w:tcPr>
          <w:tcW w:w="7513" w:type="dxa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F41EF9" w:rsidRDefault="00F41EF9" w:rsidP="00F41EF9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F41EF9" w:rsidRPr="00B82B7A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9"/>
    <w:rsid w:val="0008586D"/>
    <w:rsid w:val="001055DF"/>
    <w:rsid w:val="00155F8F"/>
    <w:rsid w:val="00423623"/>
    <w:rsid w:val="004D7B45"/>
    <w:rsid w:val="0070668B"/>
    <w:rsid w:val="00732078"/>
    <w:rsid w:val="009260FA"/>
    <w:rsid w:val="0098632C"/>
    <w:rsid w:val="00A963F4"/>
    <w:rsid w:val="00C801A4"/>
    <w:rsid w:val="00F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3509F8-04C7-4843-9CB9-3E74918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  <w:style w:type="paragraph" w:customStyle="1" w:styleId="newncpi">
    <w:name w:val="newncpi"/>
    <w:basedOn w:val="a"/>
    <w:rsid w:val="0042362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2362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362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Kretskiy</dc:creator>
  <cp:keywords/>
  <dc:description/>
  <cp:lastModifiedBy>Булыка</cp:lastModifiedBy>
  <cp:revision>2</cp:revision>
  <dcterms:created xsi:type="dcterms:W3CDTF">2022-07-08T07:51:00Z</dcterms:created>
  <dcterms:modified xsi:type="dcterms:W3CDTF">2022-07-08T07:51:00Z</dcterms:modified>
</cp:coreProperties>
</file>