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38D66" w14:textId="77777777" w:rsidR="00926BF6" w:rsidRDefault="00926BF6" w:rsidP="00E46C14">
      <w:pPr>
        <w:spacing w:before="120" w:after="0" w:line="360" w:lineRule="auto"/>
        <w:jc w:val="both"/>
        <w:rPr>
          <w:b/>
          <w:bCs/>
          <w:lang w:val="en-GB"/>
        </w:rPr>
      </w:pPr>
      <w:bookmarkStart w:id="0" w:name="_GoBack"/>
      <w:bookmarkEnd w:id="0"/>
    </w:p>
    <w:sdt>
      <w:sdtPr>
        <w:id w:val="-556016264"/>
        <w:docPartObj>
          <w:docPartGallery w:val="Cover Pages"/>
          <w:docPartUnique/>
        </w:docPartObj>
      </w:sdtPr>
      <w:sdtEndPr>
        <w:rPr>
          <w:b/>
          <w:bCs/>
          <w:sz w:val="28"/>
          <w:szCs w:val="28"/>
          <w:lang w:val="ru-RU"/>
        </w:rPr>
      </w:sdtEndPr>
      <w:sdtContent>
        <w:p w14:paraId="31C4305D" w14:textId="77777777" w:rsidR="00926BF6" w:rsidRDefault="00926BF6" w:rsidP="00E46C14">
          <w:pPr>
            <w:spacing w:before="120" w:after="0" w:line="360" w:lineRule="auto"/>
            <w:jc w:val="both"/>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46"/>
          </w:tblGrid>
          <w:tr w:rsidR="00926BF6" w14:paraId="23E57DB4" w14:textId="77777777" w:rsidTr="00A91160">
            <w:tc>
              <w:tcPr>
                <w:tcW w:w="7672" w:type="dxa"/>
                <w:tcMar>
                  <w:top w:w="216" w:type="dxa"/>
                  <w:left w:w="115" w:type="dxa"/>
                  <w:bottom w:w="216" w:type="dxa"/>
                  <w:right w:w="115" w:type="dxa"/>
                </w:tcMar>
              </w:tcPr>
              <w:p w14:paraId="4E801D01" w14:textId="77777777" w:rsidR="00926BF6" w:rsidRDefault="00926BF6" w:rsidP="00E46C14">
                <w:pPr>
                  <w:pStyle w:val="af0"/>
                  <w:spacing w:before="120" w:line="360" w:lineRule="auto"/>
                  <w:jc w:val="both"/>
                  <w:rPr>
                    <w:color w:val="0F4761" w:themeColor="accent1" w:themeShade="BF"/>
                    <w:sz w:val="24"/>
                  </w:rPr>
                </w:pPr>
              </w:p>
            </w:tc>
          </w:tr>
          <w:tr w:rsidR="00926BF6" w:rsidRPr="00A20EB5" w14:paraId="3DEABC8D" w14:textId="77777777" w:rsidTr="00A91160">
            <w:tc>
              <w:tcPr>
                <w:tcW w:w="7672" w:type="dxa"/>
              </w:tcPr>
              <w:sdt>
                <w:sdtPr>
                  <w:rPr>
                    <w:rFonts w:asciiTheme="majorHAnsi" w:eastAsiaTheme="majorEastAsia" w:hAnsiTheme="majorHAnsi" w:cstheme="majorBidi"/>
                    <w:color w:val="156082" w:themeColor="accent1"/>
                    <w:sz w:val="48"/>
                    <w:szCs w:val="48"/>
                    <w:lang w:val="ru-RU"/>
                  </w:rPr>
                  <w:alias w:val="Titre"/>
                  <w:id w:val="13406919"/>
                  <w:placeholder>
                    <w:docPart w:val="B52F68468D244C7389154FF83CCD6D09"/>
                  </w:placeholder>
                  <w:dataBinding w:prefixMappings="xmlns:ns0='http://schemas.openxmlformats.org/package/2006/metadata/core-properties' xmlns:ns1='http://purl.org/dc/elements/1.1/'" w:xpath="/ns0:coreProperties[1]/ns1:title[1]" w:storeItemID="{6C3C8BC8-F283-45AE-878A-BAB7291924A1}"/>
                  <w:text/>
                </w:sdtPr>
                <w:sdtEndPr/>
                <w:sdtContent>
                  <w:p w14:paraId="36142561" w14:textId="7BDE78C2" w:rsidR="00926BF6" w:rsidRPr="00AC695E" w:rsidRDefault="00CA67E0" w:rsidP="00E46C14">
                    <w:pPr>
                      <w:pStyle w:val="af0"/>
                      <w:spacing w:before="120"/>
                      <w:jc w:val="both"/>
                      <w:rPr>
                        <w:rFonts w:asciiTheme="majorHAnsi" w:eastAsiaTheme="majorEastAsia" w:hAnsiTheme="majorHAnsi" w:cstheme="majorBidi"/>
                        <w:color w:val="156082" w:themeColor="accent1"/>
                        <w:sz w:val="48"/>
                        <w:szCs w:val="48"/>
                        <w:lang w:val="ru-RU"/>
                      </w:rPr>
                    </w:pPr>
                    <w:r>
                      <w:rPr>
                        <w:rFonts w:asciiTheme="majorHAnsi" w:eastAsiaTheme="majorEastAsia" w:hAnsiTheme="majorHAnsi" w:cstheme="majorBidi"/>
                        <w:color w:val="156082" w:themeColor="accent1"/>
                        <w:sz w:val="48"/>
                        <w:szCs w:val="48"/>
                        <w:lang w:val="ru-RU"/>
                      </w:rPr>
                      <w:t>П</w:t>
                    </w:r>
                    <w:r w:rsidRPr="00CA67E0">
                      <w:rPr>
                        <w:rFonts w:asciiTheme="majorHAnsi" w:eastAsiaTheme="majorEastAsia" w:hAnsiTheme="majorHAnsi" w:cstheme="majorBidi"/>
                        <w:color w:val="156082" w:themeColor="accent1"/>
                        <w:sz w:val="48"/>
                        <w:szCs w:val="48"/>
                        <w:lang w:val="ru-RU"/>
                      </w:rPr>
                      <w:t>рактические рекомендации по ведению учета использования средств, привлеченных от размещения государственных зеленых облигаций Республики Беларусь для целей энергосбережения</w:t>
                    </w:r>
                  </w:p>
                </w:sdtContent>
              </w:sdt>
            </w:tc>
          </w:tr>
          <w:tr w:rsidR="00926BF6" w:rsidRPr="00A20EB5" w14:paraId="2E55F2E9" w14:textId="77777777" w:rsidTr="00A91160">
            <w:tc>
              <w:tcPr>
                <w:tcW w:w="7672" w:type="dxa"/>
                <w:tcMar>
                  <w:top w:w="216" w:type="dxa"/>
                  <w:left w:w="115" w:type="dxa"/>
                  <w:bottom w:w="216" w:type="dxa"/>
                  <w:right w:w="115" w:type="dxa"/>
                </w:tcMar>
              </w:tcPr>
              <w:p w14:paraId="71503D8B" w14:textId="26551F15" w:rsidR="00926BF6" w:rsidRPr="00EB0E78" w:rsidRDefault="00926BF6" w:rsidP="00E46C14">
                <w:pPr>
                  <w:pStyle w:val="af0"/>
                  <w:spacing w:before="120" w:line="360" w:lineRule="auto"/>
                  <w:jc w:val="both"/>
                  <w:rPr>
                    <w:color w:val="0F4761" w:themeColor="accent1" w:themeShade="BF"/>
                    <w:sz w:val="32"/>
                    <w:szCs w:val="32"/>
                    <w:lang w:val="ru-RU"/>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926BF6" w:rsidRPr="00A20EB5" w14:paraId="7DF154C9" w14:textId="77777777" w:rsidTr="00A91160">
            <w:tc>
              <w:tcPr>
                <w:tcW w:w="7221" w:type="dxa"/>
                <w:tcMar>
                  <w:top w:w="216" w:type="dxa"/>
                  <w:left w:w="115" w:type="dxa"/>
                  <w:bottom w:w="216" w:type="dxa"/>
                  <w:right w:w="115" w:type="dxa"/>
                </w:tcMar>
              </w:tcPr>
              <w:p w14:paraId="3254A066" w14:textId="77777777" w:rsidR="00926BF6" w:rsidRPr="00AC695E" w:rsidRDefault="00926BF6" w:rsidP="00E46C14">
                <w:pPr>
                  <w:pStyle w:val="af0"/>
                  <w:spacing w:before="120" w:line="360" w:lineRule="auto"/>
                  <w:jc w:val="both"/>
                  <w:rPr>
                    <w:color w:val="156082" w:themeColor="accent1"/>
                    <w:sz w:val="28"/>
                    <w:szCs w:val="28"/>
                    <w:lang w:val="ru-RU"/>
                  </w:rPr>
                </w:pPr>
              </w:p>
              <w:p w14:paraId="24810C72" w14:textId="77777777" w:rsidR="00A37214" w:rsidRDefault="00A37214" w:rsidP="00A37214">
                <w:pPr>
                  <w:pStyle w:val="af0"/>
                  <w:jc w:val="both"/>
                  <w:rPr>
                    <w:color w:val="156082" w:themeColor="accent1"/>
                    <w:sz w:val="24"/>
                    <w:szCs w:val="24"/>
                    <w:lang w:val="ru-RU"/>
                  </w:rPr>
                </w:pPr>
                <w:r>
                  <w:rPr>
                    <w:sz w:val="24"/>
                    <w:szCs w:val="24"/>
                    <w:lang w:val="ru-RU"/>
                  </w:rPr>
                  <w:t>Подготовлено в рамках регионального</w:t>
                </w:r>
                <w:r>
                  <w:rPr>
                    <w:sz w:val="24"/>
                    <w:szCs w:val="24"/>
                  </w:rPr>
                  <w:t xml:space="preserve"> проект</w:t>
                </w:r>
                <w:r>
                  <w:rPr>
                    <w:sz w:val="24"/>
                    <w:szCs w:val="24"/>
                    <w:lang w:val="ru-RU"/>
                  </w:rPr>
                  <w:t>а</w:t>
                </w:r>
                <w:r>
                  <w:rPr>
                    <w:sz w:val="24"/>
                    <w:szCs w:val="24"/>
                  </w:rPr>
                  <w:t xml:space="preserve"> «Управление знаниями и наращивание потенциала в рамках партнерства России и ПРООН»</w:t>
                </w:r>
                <w:r>
                  <w:rPr>
                    <w:sz w:val="24"/>
                    <w:szCs w:val="24"/>
                    <w:lang w:val="ru-RU"/>
                  </w:rPr>
                  <w:t>, 2025.</w:t>
                </w:r>
              </w:p>
              <w:p w14:paraId="739A3507" w14:textId="77777777" w:rsidR="00926BF6" w:rsidRPr="00AC695E" w:rsidRDefault="00926BF6" w:rsidP="00E46C14">
                <w:pPr>
                  <w:pStyle w:val="af0"/>
                  <w:spacing w:before="120" w:line="360" w:lineRule="auto"/>
                  <w:jc w:val="both"/>
                  <w:rPr>
                    <w:color w:val="156082" w:themeColor="accent1"/>
                    <w:lang w:val="ru-RU"/>
                  </w:rPr>
                </w:pPr>
              </w:p>
            </w:tc>
          </w:tr>
        </w:tbl>
        <w:p w14:paraId="2E4E9DFA" w14:textId="77777777" w:rsidR="00926BF6" w:rsidRDefault="00926BF6" w:rsidP="00E46C14">
          <w:pPr>
            <w:spacing w:before="120" w:after="0" w:line="360" w:lineRule="auto"/>
            <w:jc w:val="both"/>
            <w:rPr>
              <w:b/>
              <w:bCs/>
              <w:sz w:val="28"/>
              <w:szCs w:val="28"/>
              <w:lang w:val="ru-RU"/>
            </w:rPr>
          </w:pPr>
          <w:r>
            <w:rPr>
              <w:b/>
              <w:bCs/>
              <w:sz w:val="28"/>
              <w:szCs w:val="28"/>
              <w:lang w:val="ru-RU"/>
            </w:rPr>
            <w:br w:type="page"/>
          </w:r>
        </w:p>
      </w:sdtContent>
    </w:sdt>
    <w:sdt>
      <w:sdtPr>
        <w:rPr>
          <w:rFonts w:asciiTheme="minorHAnsi" w:eastAsiaTheme="minorHAnsi" w:hAnsiTheme="minorHAnsi" w:cstheme="minorBidi"/>
          <w:color w:val="auto"/>
          <w:kern w:val="2"/>
          <w:sz w:val="24"/>
          <w:szCs w:val="24"/>
          <w:lang w:eastAsia="en-US"/>
          <w14:ligatures w14:val="standardContextual"/>
        </w:rPr>
        <w:id w:val="-175805693"/>
        <w:docPartObj>
          <w:docPartGallery w:val="Table of Contents"/>
          <w:docPartUnique/>
        </w:docPartObj>
      </w:sdtPr>
      <w:sdtEndPr>
        <w:rPr>
          <w:b/>
          <w:bCs/>
        </w:rPr>
      </w:sdtEndPr>
      <w:sdtContent>
        <w:p w14:paraId="190F5C82" w14:textId="77777777" w:rsidR="00926BF6" w:rsidRPr="007634DC" w:rsidRDefault="00926BF6" w:rsidP="00396AAD">
          <w:pPr>
            <w:pStyle w:val="af2"/>
            <w:spacing w:before="120" w:line="360" w:lineRule="auto"/>
            <w:jc w:val="both"/>
            <w:rPr>
              <w:lang w:val="ru-RU"/>
            </w:rPr>
          </w:pPr>
          <w:r>
            <w:rPr>
              <w:lang w:val="ru-RU"/>
            </w:rPr>
            <w:t>Оглавление</w:t>
          </w:r>
        </w:p>
        <w:p w14:paraId="1958C75E" w14:textId="078B7767" w:rsidR="00797C4F" w:rsidRDefault="00926BF6">
          <w:pPr>
            <w:pStyle w:val="12"/>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99749561" w:history="1">
            <w:r w:rsidR="00797C4F" w:rsidRPr="00837183">
              <w:rPr>
                <w:rStyle w:val="af"/>
                <w:noProof/>
                <w:lang w:val="ru-RU"/>
              </w:rPr>
              <w:t>Введение</w:t>
            </w:r>
            <w:r w:rsidR="00797C4F">
              <w:rPr>
                <w:noProof/>
                <w:webHidden/>
              </w:rPr>
              <w:tab/>
            </w:r>
            <w:r w:rsidR="00797C4F">
              <w:rPr>
                <w:noProof/>
                <w:webHidden/>
              </w:rPr>
              <w:fldChar w:fldCharType="begin"/>
            </w:r>
            <w:r w:rsidR="00797C4F">
              <w:rPr>
                <w:noProof/>
                <w:webHidden/>
              </w:rPr>
              <w:instrText xml:space="preserve"> PAGEREF _Toc199749561 \h </w:instrText>
            </w:r>
            <w:r w:rsidR="00797C4F">
              <w:rPr>
                <w:noProof/>
                <w:webHidden/>
              </w:rPr>
            </w:r>
            <w:r w:rsidR="00797C4F">
              <w:rPr>
                <w:noProof/>
                <w:webHidden/>
              </w:rPr>
              <w:fldChar w:fldCharType="separate"/>
            </w:r>
            <w:r w:rsidR="00797C4F">
              <w:rPr>
                <w:noProof/>
                <w:webHidden/>
              </w:rPr>
              <w:t>3</w:t>
            </w:r>
            <w:r w:rsidR="00797C4F">
              <w:rPr>
                <w:noProof/>
                <w:webHidden/>
              </w:rPr>
              <w:fldChar w:fldCharType="end"/>
            </w:r>
          </w:hyperlink>
        </w:p>
        <w:p w14:paraId="7DE527BA" w14:textId="161C3992" w:rsidR="00797C4F" w:rsidRDefault="00896AB3">
          <w:pPr>
            <w:pStyle w:val="12"/>
            <w:tabs>
              <w:tab w:val="right" w:leader="dot" w:pos="9062"/>
            </w:tabs>
            <w:rPr>
              <w:rFonts w:eastAsiaTheme="minorEastAsia"/>
              <w:noProof/>
              <w:lang w:eastAsia="fr-FR"/>
            </w:rPr>
          </w:pPr>
          <w:hyperlink w:anchor="_Toc199749562" w:history="1">
            <w:r w:rsidR="00797C4F" w:rsidRPr="00837183">
              <w:rPr>
                <w:rStyle w:val="af"/>
                <w:noProof/>
                <w:lang w:val="ru-RU"/>
              </w:rPr>
              <w:t>1. Нормативно-правовая база по регулированию зеленых облигаций</w:t>
            </w:r>
            <w:r w:rsidR="00797C4F">
              <w:rPr>
                <w:noProof/>
                <w:webHidden/>
              </w:rPr>
              <w:tab/>
            </w:r>
            <w:r w:rsidR="00797C4F">
              <w:rPr>
                <w:noProof/>
                <w:webHidden/>
              </w:rPr>
              <w:fldChar w:fldCharType="begin"/>
            </w:r>
            <w:r w:rsidR="00797C4F">
              <w:rPr>
                <w:noProof/>
                <w:webHidden/>
              </w:rPr>
              <w:instrText xml:space="preserve"> PAGEREF _Toc199749562 \h </w:instrText>
            </w:r>
            <w:r w:rsidR="00797C4F">
              <w:rPr>
                <w:noProof/>
                <w:webHidden/>
              </w:rPr>
            </w:r>
            <w:r w:rsidR="00797C4F">
              <w:rPr>
                <w:noProof/>
                <w:webHidden/>
              </w:rPr>
              <w:fldChar w:fldCharType="separate"/>
            </w:r>
            <w:r w:rsidR="00797C4F">
              <w:rPr>
                <w:noProof/>
                <w:webHidden/>
              </w:rPr>
              <w:t>5</w:t>
            </w:r>
            <w:r w:rsidR="00797C4F">
              <w:rPr>
                <w:noProof/>
                <w:webHidden/>
              </w:rPr>
              <w:fldChar w:fldCharType="end"/>
            </w:r>
          </w:hyperlink>
        </w:p>
        <w:p w14:paraId="5B320ED1" w14:textId="3EF40AED" w:rsidR="00797C4F" w:rsidRDefault="00896AB3">
          <w:pPr>
            <w:pStyle w:val="12"/>
            <w:tabs>
              <w:tab w:val="right" w:leader="dot" w:pos="9062"/>
            </w:tabs>
            <w:rPr>
              <w:rFonts w:eastAsiaTheme="minorEastAsia"/>
              <w:noProof/>
              <w:lang w:eastAsia="fr-FR"/>
            </w:rPr>
          </w:pPr>
          <w:hyperlink w:anchor="_Toc199749563" w:history="1">
            <w:r w:rsidR="00797C4F" w:rsidRPr="00837183">
              <w:rPr>
                <w:rStyle w:val="af"/>
                <w:noProof/>
                <w:lang w:val="ru-RU"/>
              </w:rPr>
              <w:t>2. Использование средств от размещения зеленых облигаций: механизмы, требования и особенности</w:t>
            </w:r>
            <w:r w:rsidR="00797C4F">
              <w:rPr>
                <w:noProof/>
                <w:webHidden/>
              </w:rPr>
              <w:tab/>
            </w:r>
            <w:r w:rsidR="00797C4F">
              <w:rPr>
                <w:noProof/>
                <w:webHidden/>
              </w:rPr>
              <w:fldChar w:fldCharType="begin"/>
            </w:r>
            <w:r w:rsidR="00797C4F">
              <w:rPr>
                <w:noProof/>
                <w:webHidden/>
              </w:rPr>
              <w:instrText xml:space="preserve"> PAGEREF _Toc199749563 \h </w:instrText>
            </w:r>
            <w:r w:rsidR="00797C4F">
              <w:rPr>
                <w:noProof/>
                <w:webHidden/>
              </w:rPr>
            </w:r>
            <w:r w:rsidR="00797C4F">
              <w:rPr>
                <w:noProof/>
                <w:webHidden/>
              </w:rPr>
              <w:fldChar w:fldCharType="separate"/>
            </w:r>
            <w:r w:rsidR="00797C4F">
              <w:rPr>
                <w:noProof/>
                <w:webHidden/>
              </w:rPr>
              <w:t>9</w:t>
            </w:r>
            <w:r w:rsidR="00797C4F">
              <w:rPr>
                <w:noProof/>
                <w:webHidden/>
              </w:rPr>
              <w:fldChar w:fldCharType="end"/>
            </w:r>
          </w:hyperlink>
        </w:p>
        <w:p w14:paraId="2A6F58B2" w14:textId="1F22624E" w:rsidR="00797C4F" w:rsidRDefault="00896AB3">
          <w:pPr>
            <w:pStyle w:val="12"/>
            <w:tabs>
              <w:tab w:val="right" w:leader="dot" w:pos="9062"/>
            </w:tabs>
            <w:rPr>
              <w:rFonts w:eastAsiaTheme="minorEastAsia"/>
              <w:noProof/>
              <w:lang w:eastAsia="fr-FR"/>
            </w:rPr>
          </w:pPr>
          <w:hyperlink w:anchor="_Toc199749564" w:history="1">
            <w:r w:rsidR="00797C4F" w:rsidRPr="00837183">
              <w:rPr>
                <w:rStyle w:val="af"/>
                <w:noProof/>
                <w:lang w:val="ru-RU"/>
              </w:rPr>
              <w:t>3. Механизмы учета и отчетности по зеленым облигациям</w:t>
            </w:r>
            <w:r w:rsidR="00797C4F">
              <w:rPr>
                <w:noProof/>
                <w:webHidden/>
              </w:rPr>
              <w:tab/>
            </w:r>
            <w:r w:rsidR="00797C4F">
              <w:rPr>
                <w:noProof/>
                <w:webHidden/>
              </w:rPr>
              <w:fldChar w:fldCharType="begin"/>
            </w:r>
            <w:r w:rsidR="00797C4F">
              <w:rPr>
                <w:noProof/>
                <w:webHidden/>
              </w:rPr>
              <w:instrText xml:space="preserve"> PAGEREF _Toc199749564 \h </w:instrText>
            </w:r>
            <w:r w:rsidR="00797C4F">
              <w:rPr>
                <w:noProof/>
                <w:webHidden/>
              </w:rPr>
            </w:r>
            <w:r w:rsidR="00797C4F">
              <w:rPr>
                <w:noProof/>
                <w:webHidden/>
              </w:rPr>
              <w:fldChar w:fldCharType="separate"/>
            </w:r>
            <w:r w:rsidR="00797C4F">
              <w:rPr>
                <w:noProof/>
                <w:webHidden/>
              </w:rPr>
              <w:t>12</w:t>
            </w:r>
            <w:r w:rsidR="00797C4F">
              <w:rPr>
                <w:noProof/>
                <w:webHidden/>
              </w:rPr>
              <w:fldChar w:fldCharType="end"/>
            </w:r>
          </w:hyperlink>
        </w:p>
        <w:p w14:paraId="0CAA664E" w14:textId="384DFA12" w:rsidR="00797C4F" w:rsidRDefault="00896AB3">
          <w:pPr>
            <w:pStyle w:val="23"/>
            <w:tabs>
              <w:tab w:val="right" w:leader="dot" w:pos="9062"/>
            </w:tabs>
            <w:rPr>
              <w:rFonts w:eastAsiaTheme="minorEastAsia"/>
              <w:noProof/>
              <w:lang w:eastAsia="fr-FR"/>
            </w:rPr>
          </w:pPr>
          <w:hyperlink w:anchor="_Toc199749565" w:history="1">
            <w:r w:rsidR="00797C4F" w:rsidRPr="00837183">
              <w:rPr>
                <w:rStyle w:val="af"/>
                <w:noProof/>
                <w:lang w:val="ru-RU"/>
              </w:rPr>
              <w:t>3.1. Внутренние процедуры бухгалтерского учета</w:t>
            </w:r>
            <w:r w:rsidR="00797C4F">
              <w:rPr>
                <w:noProof/>
                <w:webHidden/>
              </w:rPr>
              <w:tab/>
            </w:r>
            <w:r w:rsidR="00797C4F">
              <w:rPr>
                <w:noProof/>
                <w:webHidden/>
              </w:rPr>
              <w:fldChar w:fldCharType="begin"/>
            </w:r>
            <w:r w:rsidR="00797C4F">
              <w:rPr>
                <w:noProof/>
                <w:webHidden/>
              </w:rPr>
              <w:instrText xml:space="preserve"> PAGEREF _Toc199749565 \h </w:instrText>
            </w:r>
            <w:r w:rsidR="00797C4F">
              <w:rPr>
                <w:noProof/>
                <w:webHidden/>
              </w:rPr>
            </w:r>
            <w:r w:rsidR="00797C4F">
              <w:rPr>
                <w:noProof/>
                <w:webHidden/>
              </w:rPr>
              <w:fldChar w:fldCharType="separate"/>
            </w:r>
            <w:r w:rsidR="00797C4F">
              <w:rPr>
                <w:noProof/>
                <w:webHidden/>
              </w:rPr>
              <w:t>12</w:t>
            </w:r>
            <w:r w:rsidR="00797C4F">
              <w:rPr>
                <w:noProof/>
                <w:webHidden/>
              </w:rPr>
              <w:fldChar w:fldCharType="end"/>
            </w:r>
          </w:hyperlink>
        </w:p>
        <w:p w14:paraId="00237650" w14:textId="0AA97F5E" w:rsidR="00797C4F" w:rsidRDefault="00896AB3">
          <w:pPr>
            <w:pStyle w:val="23"/>
            <w:tabs>
              <w:tab w:val="right" w:leader="dot" w:pos="9062"/>
            </w:tabs>
            <w:rPr>
              <w:rFonts w:eastAsiaTheme="minorEastAsia"/>
              <w:noProof/>
              <w:lang w:eastAsia="fr-FR"/>
            </w:rPr>
          </w:pPr>
          <w:hyperlink w:anchor="_Toc199749566" w:history="1">
            <w:r w:rsidR="00797C4F" w:rsidRPr="00837183">
              <w:rPr>
                <w:rStyle w:val="af"/>
                <w:noProof/>
                <w:lang w:val="ru-RU"/>
              </w:rPr>
              <w:t>3.2. Внешняя отчетность, прозрачность и публичное раскрытие информации</w:t>
            </w:r>
            <w:r w:rsidR="00797C4F">
              <w:rPr>
                <w:noProof/>
                <w:webHidden/>
              </w:rPr>
              <w:tab/>
            </w:r>
            <w:r w:rsidR="00797C4F">
              <w:rPr>
                <w:noProof/>
                <w:webHidden/>
              </w:rPr>
              <w:fldChar w:fldCharType="begin"/>
            </w:r>
            <w:r w:rsidR="00797C4F">
              <w:rPr>
                <w:noProof/>
                <w:webHidden/>
              </w:rPr>
              <w:instrText xml:space="preserve"> PAGEREF _Toc199749566 \h </w:instrText>
            </w:r>
            <w:r w:rsidR="00797C4F">
              <w:rPr>
                <w:noProof/>
                <w:webHidden/>
              </w:rPr>
            </w:r>
            <w:r w:rsidR="00797C4F">
              <w:rPr>
                <w:noProof/>
                <w:webHidden/>
              </w:rPr>
              <w:fldChar w:fldCharType="separate"/>
            </w:r>
            <w:r w:rsidR="00797C4F">
              <w:rPr>
                <w:noProof/>
                <w:webHidden/>
              </w:rPr>
              <w:t>16</w:t>
            </w:r>
            <w:r w:rsidR="00797C4F">
              <w:rPr>
                <w:noProof/>
                <w:webHidden/>
              </w:rPr>
              <w:fldChar w:fldCharType="end"/>
            </w:r>
          </w:hyperlink>
        </w:p>
        <w:p w14:paraId="6B7E8279" w14:textId="5DE18219" w:rsidR="00797C4F" w:rsidRDefault="00896AB3">
          <w:pPr>
            <w:pStyle w:val="12"/>
            <w:tabs>
              <w:tab w:val="right" w:leader="dot" w:pos="9062"/>
            </w:tabs>
            <w:rPr>
              <w:rFonts w:eastAsiaTheme="minorEastAsia"/>
              <w:noProof/>
              <w:lang w:eastAsia="fr-FR"/>
            </w:rPr>
          </w:pPr>
          <w:hyperlink w:anchor="_Toc199749567" w:history="1">
            <w:r w:rsidR="00797C4F" w:rsidRPr="00837183">
              <w:rPr>
                <w:rStyle w:val="af"/>
                <w:noProof/>
                <w:lang w:val="ru-RU"/>
              </w:rPr>
              <w:t>4. Погашение облигационного займа</w:t>
            </w:r>
            <w:r w:rsidR="00797C4F">
              <w:rPr>
                <w:noProof/>
                <w:webHidden/>
              </w:rPr>
              <w:tab/>
            </w:r>
            <w:r w:rsidR="00797C4F">
              <w:rPr>
                <w:noProof/>
                <w:webHidden/>
              </w:rPr>
              <w:fldChar w:fldCharType="begin"/>
            </w:r>
            <w:r w:rsidR="00797C4F">
              <w:rPr>
                <w:noProof/>
                <w:webHidden/>
              </w:rPr>
              <w:instrText xml:space="preserve"> PAGEREF _Toc199749567 \h </w:instrText>
            </w:r>
            <w:r w:rsidR="00797C4F">
              <w:rPr>
                <w:noProof/>
                <w:webHidden/>
              </w:rPr>
            </w:r>
            <w:r w:rsidR="00797C4F">
              <w:rPr>
                <w:noProof/>
                <w:webHidden/>
              </w:rPr>
              <w:fldChar w:fldCharType="separate"/>
            </w:r>
            <w:r w:rsidR="00797C4F">
              <w:rPr>
                <w:noProof/>
                <w:webHidden/>
              </w:rPr>
              <w:t>18</w:t>
            </w:r>
            <w:r w:rsidR="00797C4F">
              <w:rPr>
                <w:noProof/>
                <w:webHidden/>
              </w:rPr>
              <w:fldChar w:fldCharType="end"/>
            </w:r>
          </w:hyperlink>
        </w:p>
        <w:p w14:paraId="6F604AA0" w14:textId="74A2B918" w:rsidR="00797C4F" w:rsidRDefault="00896AB3">
          <w:pPr>
            <w:pStyle w:val="23"/>
            <w:tabs>
              <w:tab w:val="right" w:leader="dot" w:pos="9062"/>
            </w:tabs>
            <w:rPr>
              <w:rFonts w:eastAsiaTheme="minorEastAsia"/>
              <w:noProof/>
              <w:lang w:eastAsia="fr-FR"/>
            </w:rPr>
          </w:pPr>
          <w:hyperlink w:anchor="_Toc199749568" w:history="1">
            <w:r w:rsidR="00797C4F" w:rsidRPr="00837183">
              <w:rPr>
                <w:rStyle w:val="af"/>
                <w:noProof/>
                <w:lang w:val="ru-RU"/>
              </w:rPr>
              <w:t>4.1. Организация механизмов погашения</w:t>
            </w:r>
            <w:r w:rsidR="00797C4F">
              <w:rPr>
                <w:noProof/>
                <w:webHidden/>
              </w:rPr>
              <w:tab/>
            </w:r>
            <w:r w:rsidR="00797C4F">
              <w:rPr>
                <w:noProof/>
                <w:webHidden/>
              </w:rPr>
              <w:fldChar w:fldCharType="begin"/>
            </w:r>
            <w:r w:rsidR="00797C4F">
              <w:rPr>
                <w:noProof/>
                <w:webHidden/>
              </w:rPr>
              <w:instrText xml:space="preserve"> PAGEREF _Toc199749568 \h </w:instrText>
            </w:r>
            <w:r w:rsidR="00797C4F">
              <w:rPr>
                <w:noProof/>
                <w:webHidden/>
              </w:rPr>
            </w:r>
            <w:r w:rsidR="00797C4F">
              <w:rPr>
                <w:noProof/>
                <w:webHidden/>
              </w:rPr>
              <w:fldChar w:fldCharType="separate"/>
            </w:r>
            <w:r w:rsidR="00797C4F">
              <w:rPr>
                <w:noProof/>
                <w:webHidden/>
              </w:rPr>
              <w:t>18</w:t>
            </w:r>
            <w:r w:rsidR="00797C4F">
              <w:rPr>
                <w:noProof/>
                <w:webHidden/>
              </w:rPr>
              <w:fldChar w:fldCharType="end"/>
            </w:r>
          </w:hyperlink>
        </w:p>
        <w:p w14:paraId="5C1BCF4A" w14:textId="603F1A98" w:rsidR="00797C4F" w:rsidRDefault="00896AB3">
          <w:pPr>
            <w:pStyle w:val="23"/>
            <w:tabs>
              <w:tab w:val="right" w:leader="dot" w:pos="9062"/>
            </w:tabs>
            <w:rPr>
              <w:rFonts w:eastAsiaTheme="minorEastAsia"/>
              <w:noProof/>
              <w:lang w:eastAsia="fr-FR"/>
            </w:rPr>
          </w:pPr>
          <w:hyperlink w:anchor="_Toc199749569" w:history="1">
            <w:r w:rsidR="00797C4F" w:rsidRPr="00837183">
              <w:rPr>
                <w:rStyle w:val="af"/>
                <w:noProof/>
                <w:lang w:val="ru-RU"/>
              </w:rPr>
              <w:t>4.2. Организация ликвидности для погашения</w:t>
            </w:r>
            <w:r w:rsidR="00797C4F">
              <w:rPr>
                <w:noProof/>
                <w:webHidden/>
              </w:rPr>
              <w:tab/>
            </w:r>
            <w:r w:rsidR="00797C4F">
              <w:rPr>
                <w:noProof/>
                <w:webHidden/>
              </w:rPr>
              <w:fldChar w:fldCharType="begin"/>
            </w:r>
            <w:r w:rsidR="00797C4F">
              <w:rPr>
                <w:noProof/>
                <w:webHidden/>
              </w:rPr>
              <w:instrText xml:space="preserve"> PAGEREF _Toc199749569 \h </w:instrText>
            </w:r>
            <w:r w:rsidR="00797C4F">
              <w:rPr>
                <w:noProof/>
                <w:webHidden/>
              </w:rPr>
            </w:r>
            <w:r w:rsidR="00797C4F">
              <w:rPr>
                <w:noProof/>
                <w:webHidden/>
              </w:rPr>
              <w:fldChar w:fldCharType="separate"/>
            </w:r>
            <w:r w:rsidR="00797C4F">
              <w:rPr>
                <w:noProof/>
                <w:webHidden/>
              </w:rPr>
              <w:t>19</w:t>
            </w:r>
            <w:r w:rsidR="00797C4F">
              <w:rPr>
                <w:noProof/>
                <w:webHidden/>
              </w:rPr>
              <w:fldChar w:fldCharType="end"/>
            </w:r>
          </w:hyperlink>
        </w:p>
        <w:p w14:paraId="31EC2AC4" w14:textId="7199E36F" w:rsidR="00797C4F" w:rsidRDefault="00896AB3">
          <w:pPr>
            <w:pStyle w:val="23"/>
            <w:tabs>
              <w:tab w:val="right" w:leader="dot" w:pos="9062"/>
            </w:tabs>
            <w:rPr>
              <w:rFonts w:eastAsiaTheme="minorEastAsia"/>
              <w:noProof/>
              <w:lang w:eastAsia="fr-FR"/>
            </w:rPr>
          </w:pPr>
          <w:hyperlink w:anchor="_Toc199749570" w:history="1">
            <w:r w:rsidR="00797C4F" w:rsidRPr="00837183">
              <w:rPr>
                <w:rStyle w:val="af"/>
                <w:noProof/>
                <w:lang w:val="ru-RU"/>
              </w:rPr>
              <w:t>4.3. Юридические обязательства и коммуникация с инвесторами</w:t>
            </w:r>
            <w:r w:rsidR="00797C4F">
              <w:rPr>
                <w:noProof/>
                <w:webHidden/>
              </w:rPr>
              <w:tab/>
            </w:r>
            <w:r w:rsidR="00797C4F">
              <w:rPr>
                <w:noProof/>
                <w:webHidden/>
              </w:rPr>
              <w:fldChar w:fldCharType="begin"/>
            </w:r>
            <w:r w:rsidR="00797C4F">
              <w:rPr>
                <w:noProof/>
                <w:webHidden/>
              </w:rPr>
              <w:instrText xml:space="preserve"> PAGEREF _Toc199749570 \h </w:instrText>
            </w:r>
            <w:r w:rsidR="00797C4F">
              <w:rPr>
                <w:noProof/>
                <w:webHidden/>
              </w:rPr>
            </w:r>
            <w:r w:rsidR="00797C4F">
              <w:rPr>
                <w:noProof/>
                <w:webHidden/>
              </w:rPr>
              <w:fldChar w:fldCharType="separate"/>
            </w:r>
            <w:r w:rsidR="00797C4F">
              <w:rPr>
                <w:noProof/>
                <w:webHidden/>
              </w:rPr>
              <w:t>20</w:t>
            </w:r>
            <w:r w:rsidR="00797C4F">
              <w:rPr>
                <w:noProof/>
                <w:webHidden/>
              </w:rPr>
              <w:fldChar w:fldCharType="end"/>
            </w:r>
          </w:hyperlink>
        </w:p>
        <w:p w14:paraId="4C3175B9" w14:textId="467D9D75" w:rsidR="00797C4F" w:rsidRDefault="00896AB3">
          <w:pPr>
            <w:pStyle w:val="12"/>
            <w:tabs>
              <w:tab w:val="right" w:leader="dot" w:pos="9062"/>
            </w:tabs>
            <w:rPr>
              <w:rFonts w:eastAsiaTheme="minorEastAsia"/>
              <w:noProof/>
              <w:lang w:eastAsia="fr-FR"/>
            </w:rPr>
          </w:pPr>
          <w:hyperlink w:anchor="_Toc199749571" w:history="1">
            <w:r w:rsidR="00797C4F" w:rsidRPr="00837183">
              <w:rPr>
                <w:rStyle w:val="af"/>
                <w:noProof/>
                <w:lang w:val="ru-RU"/>
              </w:rPr>
              <w:t>5. Мониторинг и соблюдение требований</w:t>
            </w:r>
            <w:r w:rsidR="00797C4F">
              <w:rPr>
                <w:noProof/>
                <w:webHidden/>
              </w:rPr>
              <w:tab/>
            </w:r>
            <w:r w:rsidR="00797C4F">
              <w:rPr>
                <w:noProof/>
                <w:webHidden/>
              </w:rPr>
              <w:fldChar w:fldCharType="begin"/>
            </w:r>
            <w:r w:rsidR="00797C4F">
              <w:rPr>
                <w:noProof/>
                <w:webHidden/>
              </w:rPr>
              <w:instrText xml:space="preserve"> PAGEREF _Toc199749571 \h </w:instrText>
            </w:r>
            <w:r w:rsidR="00797C4F">
              <w:rPr>
                <w:noProof/>
                <w:webHidden/>
              </w:rPr>
            </w:r>
            <w:r w:rsidR="00797C4F">
              <w:rPr>
                <w:noProof/>
                <w:webHidden/>
              </w:rPr>
              <w:fldChar w:fldCharType="separate"/>
            </w:r>
            <w:r w:rsidR="00797C4F">
              <w:rPr>
                <w:noProof/>
                <w:webHidden/>
              </w:rPr>
              <w:t>21</w:t>
            </w:r>
            <w:r w:rsidR="00797C4F">
              <w:rPr>
                <w:noProof/>
                <w:webHidden/>
              </w:rPr>
              <w:fldChar w:fldCharType="end"/>
            </w:r>
          </w:hyperlink>
        </w:p>
        <w:p w14:paraId="207E0FDA" w14:textId="4B75CE8D" w:rsidR="00797C4F" w:rsidRDefault="00896AB3">
          <w:pPr>
            <w:pStyle w:val="12"/>
            <w:tabs>
              <w:tab w:val="right" w:leader="dot" w:pos="9062"/>
            </w:tabs>
            <w:rPr>
              <w:rFonts w:eastAsiaTheme="minorEastAsia"/>
              <w:noProof/>
              <w:lang w:eastAsia="fr-FR"/>
            </w:rPr>
          </w:pPr>
          <w:hyperlink w:anchor="_Toc199749572" w:history="1">
            <w:r w:rsidR="00797C4F" w:rsidRPr="00837183">
              <w:rPr>
                <w:rStyle w:val="af"/>
                <w:noProof/>
                <w:lang w:val="ru-RU"/>
              </w:rPr>
              <w:t>Ссылки</w:t>
            </w:r>
            <w:r w:rsidR="00797C4F">
              <w:rPr>
                <w:noProof/>
                <w:webHidden/>
              </w:rPr>
              <w:tab/>
            </w:r>
            <w:r w:rsidR="00797C4F">
              <w:rPr>
                <w:noProof/>
                <w:webHidden/>
              </w:rPr>
              <w:fldChar w:fldCharType="begin"/>
            </w:r>
            <w:r w:rsidR="00797C4F">
              <w:rPr>
                <w:noProof/>
                <w:webHidden/>
              </w:rPr>
              <w:instrText xml:space="preserve"> PAGEREF _Toc199749572 \h </w:instrText>
            </w:r>
            <w:r w:rsidR="00797C4F">
              <w:rPr>
                <w:noProof/>
                <w:webHidden/>
              </w:rPr>
            </w:r>
            <w:r w:rsidR="00797C4F">
              <w:rPr>
                <w:noProof/>
                <w:webHidden/>
              </w:rPr>
              <w:fldChar w:fldCharType="separate"/>
            </w:r>
            <w:r w:rsidR="00797C4F">
              <w:rPr>
                <w:noProof/>
                <w:webHidden/>
              </w:rPr>
              <w:t>24</w:t>
            </w:r>
            <w:r w:rsidR="00797C4F">
              <w:rPr>
                <w:noProof/>
                <w:webHidden/>
              </w:rPr>
              <w:fldChar w:fldCharType="end"/>
            </w:r>
          </w:hyperlink>
        </w:p>
        <w:p w14:paraId="5B823BA1" w14:textId="1F32E947" w:rsidR="00926BF6" w:rsidRDefault="00926BF6" w:rsidP="00396AAD">
          <w:pPr>
            <w:spacing w:before="120" w:after="0" w:line="360" w:lineRule="auto"/>
            <w:jc w:val="both"/>
          </w:pPr>
          <w:r>
            <w:rPr>
              <w:b/>
              <w:bCs/>
            </w:rPr>
            <w:fldChar w:fldCharType="end"/>
          </w:r>
        </w:p>
      </w:sdtContent>
    </w:sdt>
    <w:p w14:paraId="2E3678D7" w14:textId="77777777" w:rsidR="00926BF6" w:rsidRDefault="00926BF6" w:rsidP="00E46C14">
      <w:pPr>
        <w:spacing w:before="120" w:after="0" w:line="360" w:lineRule="auto"/>
        <w:jc w:val="both"/>
        <w:rPr>
          <w:b/>
          <w:bCs/>
          <w:sz w:val="28"/>
          <w:szCs w:val="28"/>
          <w:lang w:val="ru-RU"/>
        </w:rPr>
      </w:pPr>
    </w:p>
    <w:p w14:paraId="7AC6926A" w14:textId="77777777" w:rsidR="00926BF6" w:rsidRPr="00AC695E" w:rsidRDefault="00926BF6" w:rsidP="00E46C14">
      <w:pPr>
        <w:spacing w:before="120" w:after="0" w:line="360" w:lineRule="auto"/>
        <w:jc w:val="both"/>
        <w:rPr>
          <w:b/>
          <w:bCs/>
          <w:sz w:val="28"/>
          <w:szCs w:val="28"/>
          <w:lang w:val="ru-RU"/>
        </w:rPr>
      </w:pPr>
      <w:r w:rsidRPr="00AC695E">
        <w:rPr>
          <w:b/>
          <w:bCs/>
          <w:sz w:val="28"/>
          <w:szCs w:val="28"/>
          <w:lang w:val="ru-RU"/>
        </w:rPr>
        <w:br w:type="page"/>
      </w:r>
    </w:p>
    <w:p w14:paraId="2EEBE332" w14:textId="10B43200" w:rsidR="00926BF6" w:rsidRPr="00B32ECB" w:rsidRDefault="00CB4273" w:rsidP="00E46C14">
      <w:pPr>
        <w:pStyle w:val="1"/>
        <w:spacing w:before="120" w:after="0" w:line="360" w:lineRule="auto"/>
        <w:jc w:val="both"/>
        <w:rPr>
          <w:sz w:val="28"/>
          <w:szCs w:val="28"/>
          <w:lang w:val="ru-RU"/>
        </w:rPr>
      </w:pPr>
      <w:bookmarkStart w:id="1" w:name="_Toc199749561"/>
      <w:r>
        <w:rPr>
          <w:sz w:val="28"/>
          <w:szCs w:val="28"/>
          <w:lang w:val="ru-RU"/>
        </w:rPr>
        <w:lastRenderedPageBreak/>
        <w:t>В</w:t>
      </w:r>
      <w:r w:rsidR="00E46C14">
        <w:rPr>
          <w:sz w:val="28"/>
          <w:szCs w:val="28"/>
          <w:lang w:val="ru-RU"/>
        </w:rPr>
        <w:t>ведение</w:t>
      </w:r>
      <w:bookmarkEnd w:id="1"/>
    </w:p>
    <w:p w14:paraId="5CC2028E" w14:textId="0B69D828" w:rsidR="00926BF6" w:rsidRDefault="00975E74" w:rsidP="00E46C14">
      <w:pPr>
        <w:spacing w:before="120" w:after="0" w:line="360" w:lineRule="auto"/>
        <w:jc w:val="both"/>
        <w:rPr>
          <w:lang w:val="ru-RU"/>
        </w:rPr>
      </w:pPr>
      <w:r>
        <w:rPr>
          <w:lang w:val="ru-RU"/>
        </w:rPr>
        <w:t xml:space="preserve">В данном руководстве представлены практические рекомендации по </w:t>
      </w:r>
      <w:r w:rsidR="00CA67E0" w:rsidRPr="00CA67E0">
        <w:rPr>
          <w:lang w:val="ru-RU"/>
        </w:rPr>
        <w:t xml:space="preserve">ведению учета использования средств, привлеченных от размещения государственных зеленых облигаций Республики Беларусь для целей энергосбережения, включая вопросы использования </w:t>
      </w:r>
      <w:r w:rsidR="00CA67E0">
        <w:rPr>
          <w:lang w:val="ru-RU"/>
        </w:rPr>
        <w:t>средств</w:t>
      </w:r>
      <w:r w:rsidR="00CA67E0" w:rsidRPr="00CA67E0">
        <w:rPr>
          <w:lang w:val="ru-RU"/>
        </w:rPr>
        <w:t xml:space="preserve"> от размещения</w:t>
      </w:r>
      <w:r w:rsidR="00CA67E0">
        <w:rPr>
          <w:lang w:val="ru-RU"/>
        </w:rPr>
        <w:t>,</w:t>
      </w:r>
      <w:r w:rsidR="00CA67E0" w:rsidRPr="00CA67E0">
        <w:rPr>
          <w:lang w:val="ru-RU"/>
        </w:rPr>
        <w:t xml:space="preserve"> погашения облигационного займа</w:t>
      </w:r>
      <w:r>
        <w:rPr>
          <w:lang w:val="ru-RU"/>
        </w:rPr>
        <w:t xml:space="preserve">. </w:t>
      </w:r>
    </w:p>
    <w:p w14:paraId="03A80672" w14:textId="280208F3" w:rsidR="00CA67E0" w:rsidRPr="00CA67E0" w:rsidRDefault="00CA67E0" w:rsidP="00E46C14">
      <w:pPr>
        <w:spacing w:before="120" w:after="0" w:line="360" w:lineRule="auto"/>
        <w:jc w:val="both"/>
        <w:rPr>
          <w:lang w:val="ru-RU"/>
        </w:rPr>
      </w:pPr>
      <w:r>
        <w:rPr>
          <w:lang w:val="ru-RU"/>
        </w:rPr>
        <w:t>«</w:t>
      </w:r>
      <w:r w:rsidRPr="00CA67E0">
        <w:rPr>
          <w:lang w:val="ru-RU"/>
        </w:rPr>
        <w:t>Зеленые</w:t>
      </w:r>
      <w:r>
        <w:rPr>
          <w:lang w:val="ru-RU"/>
        </w:rPr>
        <w:t>»</w:t>
      </w:r>
      <w:r w:rsidRPr="00CA67E0">
        <w:rPr>
          <w:lang w:val="ru-RU"/>
        </w:rPr>
        <w:t xml:space="preserve"> облигации – это долговые финансовые инструменты, выпускаемые для привлечения средств исключительно на финансирование </w:t>
      </w:r>
      <w:r>
        <w:rPr>
          <w:lang w:val="ru-RU"/>
        </w:rPr>
        <w:t xml:space="preserve">«зеленых», «адаптационных»/переходных </w:t>
      </w:r>
      <w:r w:rsidRPr="00CA67E0">
        <w:rPr>
          <w:lang w:val="ru-RU"/>
        </w:rPr>
        <w:t>проекто</w:t>
      </w:r>
      <w:r>
        <w:rPr>
          <w:lang w:val="ru-RU"/>
        </w:rPr>
        <w:t>в и проектов «устойчивого развития»</w:t>
      </w:r>
      <w:r w:rsidRPr="00CA67E0">
        <w:rPr>
          <w:lang w:val="ru-RU"/>
        </w:rPr>
        <w:t xml:space="preserve">, в частности, в сфере энергосбережения. Выпуск зеленых облигаций является частью стратегии перехода к «зеленой» экономике и </w:t>
      </w:r>
      <w:r w:rsidR="00E46C14">
        <w:rPr>
          <w:lang w:val="ru-RU"/>
        </w:rPr>
        <w:t>выполнения</w:t>
      </w:r>
      <w:r w:rsidRPr="00CA67E0">
        <w:rPr>
          <w:lang w:val="ru-RU"/>
        </w:rPr>
        <w:t xml:space="preserve"> международны</w:t>
      </w:r>
      <w:r w:rsidR="00E46C14">
        <w:rPr>
          <w:lang w:val="ru-RU"/>
        </w:rPr>
        <w:t>х</w:t>
      </w:r>
      <w:r w:rsidRPr="00CA67E0">
        <w:rPr>
          <w:lang w:val="ru-RU"/>
        </w:rPr>
        <w:t xml:space="preserve"> обязательств</w:t>
      </w:r>
      <w:r w:rsidR="00E46C14">
        <w:rPr>
          <w:lang w:val="ru-RU"/>
        </w:rPr>
        <w:t xml:space="preserve"> страны</w:t>
      </w:r>
      <w:r w:rsidRPr="00CA67E0">
        <w:rPr>
          <w:lang w:val="ru-RU"/>
        </w:rPr>
        <w:t xml:space="preserve"> в области устойчивого развития. </w:t>
      </w:r>
      <w:r>
        <w:rPr>
          <w:lang w:val="ru-RU"/>
        </w:rPr>
        <w:t xml:space="preserve">Данный </w:t>
      </w:r>
      <w:r w:rsidRPr="00CA67E0">
        <w:rPr>
          <w:lang w:val="ru-RU"/>
        </w:rPr>
        <w:t xml:space="preserve">инструмент приобретает все большую популярность среди инвесторов, ориентированных на </w:t>
      </w:r>
      <w:r>
        <w:t>ESG</w:t>
      </w:r>
      <w:r w:rsidRPr="00CA67E0">
        <w:rPr>
          <w:lang w:val="ru-RU"/>
        </w:rPr>
        <w:t xml:space="preserve">-принципы (экологическое, социальное и корпоративное управление).  </w:t>
      </w:r>
    </w:p>
    <w:p w14:paraId="79640C78" w14:textId="77777777" w:rsidR="00CA67E0" w:rsidRPr="00CA67E0" w:rsidRDefault="00CA67E0" w:rsidP="00E46C14">
      <w:pPr>
        <w:spacing w:before="120" w:after="0" w:line="360" w:lineRule="auto"/>
        <w:jc w:val="both"/>
        <w:rPr>
          <w:lang w:val="ru-RU"/>
        </w:rPr>
      </w:pPr>
      <w:r w:rsidRPr="00CA67E0">
        <w:rPr>
          <w:lang w:val="ru-RU"/>
        </w:rPr>
        <w:t xml:space="preserve">Правильный учет и отчетность по использованию средств, привлеченных через зеленые облигации, имеют ключевое значение для:  </w:t>
      </w:r>
    </w:p>
    <w:p w14:paraId="0E3F5AA6" w14:textId="31C1E37D" w:rsidR="00CA67E0" w:rsidRPr="00CA67E0" w:rsidRDefault="00CA67E0" w:rsidP="00E46C14">
      <w:pPr>
        <w:spacing w:before="120" w:after="0" w:line="360" w:lineRule="auto"/>
        <w:jc w:val="both"/>
        <w:rPr>
          <w:lang w:val="ru-RU"/>
        </w:rPr>
      </w:pPr>
      <w:r w:rsidRPr="00CA67E0">
        <w:rPr>
          <w:lang w:val="ru-RU"/>
        </w:rPr>
        <w:t>- Доверия инвесторов – прозрачность гарантирует, что средства направляются строго на заявленные эколог</w:t>
      </w:r>
      <w:r>
        <w:rPr>
          <w:lang w:val="ru-RU"/>
        </w:rPr>
        <w:t xml:space="preserve">о-ориентированные </w:t>
      </w:r>
      <w:r w:rsidRPr="00CA67E0">
        <w:rPr>
          <w:lang w:val="ru-RU"/>
        </w:rPr>
        <w:t xml:space="preserve">проекты.  </w:t>
      </w:r>
    </w:p>
    <w:p w14:paraId="2F8539F1" w14:textId="67DB9966" w:rsidR="00CA67E0" w:rsidRPr="00CA67E0" w:rsidRDefault="00CA67E0" w:rsidP="00E46C14">
      <w:pPr>
        <w:spacing w:before="120" w:after="0" w:line="360" w:lineRule="auto"/>
        <w:jc w:val="both"/>
        <w:rPr>
          <w:lang w:val="ru-RU"/>
        </w:rPr>
      </w:pPr>
      <w:r w:rsidRPr="00CA67E0">
        <w:rPr>
          <w:lang w:val="ru-RU"/>
        </w:rPr>
        <w:t xml:space="preserve">- Соответствия международным стандартам – такие принципы, как </w:t>
      </w:r>
      <w:r>
        <w:t>Green</w:t>
      </w:r>
      <w:r w:rsidRPr="00CA67E0">
        <w:rPr>
          <w:lang w:val="ru-RU"/>
        </w:rPr>
        <w:t xml:space="preserve"> </w:t>
      </w:r>
      <w:r>
        <w:t>Bond</w:t>
      </w:r>
      <w:r w:rsidRPr="00CA67E0">
        <w:rPr>
          <w:lang w:val="ru-RU"/>
        </w:rPr>
        <w:t xml:space="preserve"> </w:t>
      </w:r>
      <w:r>
        <w:t>Principles</w:t>
      </w:r>
      <w:r w:rsidRPr="00CA67E0">
        <w:rPr>
          <w:lang w:val="ru-RU"/>
        </w:rPr>
        <w:t xml:space="preserve"> (</w:t>
      </w:r>
      <w:r>
        <w:t>GBP</w:t>
      </w:r>
      <w:r w:rsidRPr="00CA67E0">
        <w:rPr>
          <w:lang w:val="ru-RU"/>
        </w:rPr>
        <w:t xml:space="preserve">) </w:t>
      </w:r>
      <w:r>
        <w:t>ICMA</w:t>
      </w:r>
      <w:r w:rsidR="00E46C14">
        <w:rPr>
          <w:rStyle w:val="ae"/>
        </w:rPr>
        <w:footnoteReference w:id="1"/>
      </w:r>
      <w:r w:rsidRPr="00CA67E0">
        <w:rPr>
          <w:lang w:val="ru-RU"/>
        </w:rPr>
        <w:t xml:space="preserve">, требуют четкого отслеживания денежных потоков.  </w:t>
      </w:r>
    </w:p>
    <w:p w14:paraId="250CAFC3" w14:textId="344B9699" w:rsidR="00CA67E0" w:rsidRPr="00CA67E0" w:rsidRDefault="00CA67E0" w:rsidP="00E46C14">
      <w:pPr>
        <w:spacing w:before="120" w:after="0" w:line="360" w:lineRule="auto"/>
        <w:jc w:val="both"/>
        <w:rPr>
          <w:lang w:val="ru-RU"/>
        </w:rPr>
      </w:pPr>
      <w:r w:rsidRPr="00CA67E0">
        <w:rPr>
          <w:lang w:val="ru-RU"/>
        </w:rPr>
        <w:t xml:space="preserve">- Репутации страны на мировом финансовом рынке – соблюдение правил зеленого финансирования повышает кредитный рейтинг и открывает доступ к новым источникам капитала.  </w:t>
      </w:r>
    </w:p>
    <w:p w14:paraId="72BFA42D" w14:textId="0CA35E95" w:rsidR="00CA67E0" w:rsidRPr="00CA67E0" w:rsidRDefault="00CA67E0" w:rsidP="00E46C14">
      <w:pPr>
        <w:spacing w:before="120" w:after="0" w:line="360" w:lineRule="auto"/>
        <w:jc w:val="both"/>
        <w:rPr>
          <w:lang w:val="ru-RU"/>
        </w:rPr>
      </w:pPr>
      <w:r w:rsidRPr="00CA67E0">
        <w:rPr>
          <w:lang w:val="ru-RU"/>
        </w:rPr>
        <w:t xml:space="preserve">- Предотвращения «гринвошинга» (ложных заявлений об экологичности проектов) – строгий контроль исключает риски нецелевого использования средств.  </w:t>
      </w:r>
    </w:p>
    <w:p w14:paraId="41D4E3AF" w14:textId="77777777" w:rsidR="00CA67E0" w:rsidRPr="00CA67E0" w:rsidRDefault="00CA67E0" w:rsidP="00E46C14">
      <w:pPr>
        <w:spacing w:before="120" w:after="0" w:line="360" w:lineRule="auto"/>
        <w:jc w:val="both"/>
        <w:rPr>
          <w:lang w:val="ru-RU"/>
        </w:rPr>
      </w:pPr>
      <w:r w:rsidRPr="00CA67E0">
        <w:rPr>
          <w:lang w:val="ru-RU"/>
        </w:rPr>
        <w:t xml:space="preserve">Данные рекомендации разработаны для:  </w:t>
      </w:r>
    </w:p>
    <w:p w14:paraId="1F2F9428" w14:textId="45FFAC0C" w:rsidR="00CA67E0" w:rsidRPr="00CA67E0" w:rsidRDefault="00CA67E0" w:rsidP="00E46C14">
      <w:pPr>
        <w:spacing w:before="120" w:after="0" w:line="360" w:lineRule="auto"/>
        <w:jc w:val="both"/>
        <w:rPr>
          <w:lang w:val="ru-RU"/>
        </w:rPr>
      </w:pPr>
      <w:r w:rsidRPr="00CA67E0">
        <w:rPr>
          <w:lang w:val="ru-RU"/>
        </w:rPr>
        <w:lastRenderedPageBreak/>
        <w:t xml:space="preserve">1. Обеспечения прозрачности – </w:t>
      </w:r>
      <w:r>
        <w:rPr>
          <w:lang w:val="ru-RU"/>
        </w:rPr>
        <w:t>применения современной</w:t>
      </w:r>
      <w:r w:rsidRPr="00CA67E0">
        <w:rPr>
          <w:lang w:val="ru-RU"/>
        </w:rPr>
        <w:t xml:space="preserve"> системы учета и отчетности по использованию средств зеленых облигаций.  </w:t>
      </w:r>
    </w:p>
    <w:p w14:paraId="7F53855D" w14:textId="3B1BA148" w:rsidR="00CA67E0" w:rsidRPr="00CA67E0" w:rsidRDefault="00CA67E0" w:rsidP="00E46C14">
      <w:pPr>
        <w:spacing w:before="120" w:after="0" w:line="360" w:lineRule="auto"/>
        <w:jc w:val="both"/>
        <w:rPr>
          <w:lang w:val="ru-RU"/>
        </w:rPr>
      </w:pPr>
      <w:r w:rsidRPr="00CA67E0">
        <w:rPr>
          <w:lang w:val="ru-RU"/>
        </w:rPr>
        <w:t xml:space="preserve">2. Соблюдения регуляторных требований – соответствия как национальному законодательству, так и международным стандартам зеленого финансирования.  </w:t>
      </w:r>
    </w:p>
    <w:p w14:paraId="423041E3" w14:textId="62F6E364" w:rsidR="00CA67E0" w:rsidRPr="00CA67E0" w:rsidRDefault="00CA67E0" w:rsidP="00E46C14">
      <w:pPr>
        <w:spacing w:before="120" w:after="0" w:line="360" w:lineRule="auto"/>
        <w:jc w:val="both"/>
        <w:rPr>
          <w:lang w:val="ru-RU"/>
        </w:rPr>
      </w:pPr>
      <w:r w:rsidRPr="00CA67E0">
        <w:rPr>
          <w:lang w:val="ru-RU"/>
        </w:rPr>
        <w:t xml:space="preserve">3. Повышения эффективности управления средствами – оптимизации процессов распределения, контроля и погашения облигационных займов.  </w:t>
      </w:r>
    </w:p>
    <w:p w14:paraId="505C7A1B" w14:textId="71990048" w:rsidR="00CA67E0" w:rsidRPr="00CA67E0" w:rsidRDefault="00CA67E0" w:rsidP="00E46C14">
      <w:pPr>
        <w:spacing w:before="120" w:after="0" w:line="360" w:lineRule="auto"/>
        <w:jc w:val="both"/>
        <w:rPr>
          <w:lang w:val="ru-RU"/>
        </w:rPr>
      </w:pPr>
      <w:r w:rsidRPr="00CA67E0">
        <w:rPr>
          <w:lang w:val="ru-RU"/>
        </w:rPr>
        <w:t xml:space="preserve">4. Привлечения дополнительных инвестиций – укрепления доверия со стороны международных инвесторов и финансовых институтов.  </w:t>
      </w:r>
    </w:p>
    <w:p w14:paraId="16550180" w14:textId="77777777" w:rsidR="00CA67E0" w:rsidRDefault="00CA67E0" w:rsidP="00E46C14">
      <w:pPr>
        <w:spacing w:before="120" w:after="0" w:line="360" w:lineRule="auto"/>
        <w:jc w:val="both"/>
        <w:rPr>
          <w:lang w:val="ru-RU"/>
        </w:rPr>
      </w:pPr>
      <w:r>
        <w:rPr>
          <w:lang w:val="ru-RU"/>
        </w:rPr>
        <w:t>П</w:t>
      </w:r>
      <w:r w:rsidRPr="00CA67E0">
        <w:rPr>
          <w:lang w:val="ru-RU"/>
        </w:rPr>
        <w:t xml:space="preserve">редставленные рекомендации направлены на формирование надежной системы управления зелеными облигациями, устойчивому развитию экономики Беларуси и выполнению </w:t>
      </w:r>
      <w:r>
        <w:rPr>
          <w:lang w:val="ru-RU"/>
        </w:rPr>
        <w:t xml:space="preserve">международных экологических целей и </w:t>
      </w:r>
      <w:r w:rsidRPr="00CA67E0">
        <w:rPr>
          <w:lang w:val="ru-RU"/>
        </w:rPr>
        <w:t>обязательств.</w:t>
      </w:r>
    </w:p>
    <w:p w14:paraId="47259E15" w14:textId="25FF1B8B" w:rsidR="00B33FE3" w:rsidRDefault="00B33FE3" w:rsidP="00E46C14">
      <w:pPr>
        <w:spacing w:before="120" w:after="0" w:line="360" w:lineRule="auto"/>
        <w:jc w:val="both"/>
        <w:rPr>
          <w:lang w:val="ru-RU"/>
        </w:rPr>
      </w:pPr>
      <w:r w:rsidRPr="00B33FE3">
        <w:rPr>
          <w:lang w:val="ru-RU"/>
        </w:rPr>
        <w:t>Учитываются требования к «зеленым» облигациям, утвержденным в Российской Федерации, Республике Казахстан, Евразийском Банке Развития</w:t>
      </w:r>
      <w:r w:rsidR="00E46C14">
        <w:rPr>
          <w:lang w:val="ru-RU"/>
        </w:rPr>
        <w:t xml:space="preserve"> (ЕАБР)</w:t>
      </w:r>
      <w:r w:rsidRPr="00B33FE3">
        <w:rPr>
          <w:lang w:val="ru-RU"/>
        </w:rPr>
        <w:t>, в которых может быть обеспечено привлечение финансовых средств по механизмам «зеленого» финансирования для проектов, реализуемых в Республике Беларусь.</w:t>
      </w:r>
      <w:r>
        <w:rPr>
          <w:lang w:val="ru-RU"/>
        </w:rPr>
        <w:t xml:space="preserve"> </w:t>
      </w:r>
    </w:p>
    <w:p w14:paraId="4D20E4BD" w14:textId="04DFBCA7" w:rsidR="00783B9F" w:rsidRDefault="00783B9F" w:rsidP="00E46C14">
      <w:pPr>
        <w:spacing w:before="120" w:after="0" w:line="360" w:lineRule="auto"/>
        <w:jc w:val="both"/>
        <w:rPr>
          <w:lang w:val="ru-RU"/>
        </w:rPr>
      </w:pPr>
      <w:r>
        <w:rPr>
          <w:lang w:val="ru-RU"/>
        </w:rPr>
        <w:br w:type="page"/>
      </w:r>
    </w:p>
    <w:p w14:paraId="6ED8DB7F" w14:textId="1B363E6E" w:rsidR="00926BF6" w:rsidRPr="00926BF6" w:rsidRDefault="00975E74" w:rsidP="00E46C14">
      <w:pPr>
        <w:pStyle w:val="1"/>
        <w:spacing w:before="120" w:after="0" w:line="360" w:lineRule="auto"/>
        <w:jc w:val="both"/>
        <w:rPr>
          <w:sz w:val="28"/>
          <w:szCs w:val="28"/>
          <w:lang w:val="ru-RU"/>
        </w:rPr>
      </w:pPr>
      <w:bookmarkStart w:id="2" w:name="_Toc199749562"/>
      <w:r>
        <w:rPr>
          <w:sz w:val="28"/>
          <w:szCs w:val="28"/>
          <w:lang w:val="ru-RU"/>
        </w:rPr>
        <w:lastRenderedPageBreak/>
        <w:t xml:space="preserve">1. </w:t>
      </w:r>
      <w:r w:rsidR="00B33FE3" w:rsidRPr="00B33FE3">
        <w:rPr>
          <w:sz w:val="28"/>
          <w:szCs w:val="28"/>
          <w:lang w:val="ru-RU"/>
        </w:rPr>
        <w:t>Нормативно-правовая база</w:t>
      </w:r>
      <w:r w:rsidR="00C64164">
        <w:rPr>
          <w:sz w:val="28"/>
          <w:szCs w:val="28"/>
          <w:lang w:val="ru-RU"/>
        </w:rPr>
        <w:t xml:space="preserve"> по </w:t>
      </w:r>
      <w:r w:rsidR="00C64164" w:rsidRPr="00C64164">
        <w:rPr>
          <w:sz w:val="28"/>
          <w:szCs w:val="28"/>
          <w:lang w:val="ru-RU"/>
        </w:rPr>
        <w:t>регулир</w:t>
      </w:r>
      <w:r w:rsidR="00C64164">
        <w:rPr>
          <w:sz w:val="28"/>
          <w:szCs w:val="28"/>
          <w:lang w:val="ru-RU"/>
        </w:rPr>
        <w:t xml:space="preserve">ованию </w:t>
      </w:r>
      <w:r w:rsidR="00C64164" w:rsidRPr="00C64164">
        <w:rPr>
          <w:sz w:val="28"/>
          <w:szCs w:val="28"/>
          <w:lang w:val="ru-RU"/>
        </w:rPr>
        <w:t>зелены</w:t>
      </w:r>
      <w:r w:rsidR="00C64164">
        <w:rPr>
          <w:sz w:val="28"/>
          <w:szCs w:val="28"/>
          <w:lang w:val="ru-RU"/>
        </w:rPr>
        <w:t xml:space="preserve">х </w:t>
      </w:r>
      <w:r w:rsidR="00C64164" w:rsidRPr="00C64164">
        <w:rPr>
          <w:sz w:val="28"/>
          <w:szCs w:val="28"/>
          <w:lang w:val="ru-RU"/>
        </w:rPr>
        <w:t>облигаци</w:t>
      </w:r>
      <w:r w:rsidR="00C64164">
        <w:rPr>
          <w:sz w:val="28"/>
          <w:szCs w:val="28"/>
          <w:lang w:val="ru-RU"/>
        </w:rPr>
        <w:t>й</w:t>
      </w:r>
      <w:bookmarkEnd w:id="2"/>
    </w:p>
    <w:p w14:paraId="7F36DED2" w14:textId="7B51E931" w:rsidR="00C64164" w:rsidRPr="00C64164" w:rsidRDefault="00C64164" w:rsidP="00E46C14">
      <w:pPr>
        <w:spacing w:before="120" w:after="0" w:line="360" w:lineRule="auto"/>
        <w:jc w:val="both"/>
        <w:rPr>
          <w:lang w:val="ru-RU"/>
        </w:rPr>
      </w:pPr>
      <w:r w:rsidRPr="00C64164">
        <w:rPr>
          <w:lang w:val="ru-RU"/>
        </w:rPr>
        <w:t>В Республике Беларусь формирование правовой основы для выпуска зеленых облигаций находится на этапе активного развития, хотя специальные нормативные акты, посвященные этому финансовому инструменту, пока отсутствуют. Основу для эмиссии зеленых облигаций составляют действующие нормативные документы, включая Банковский кодекс Республики Беларусь, который регулирует выпуск облигаций банками, а также Закон "О ценных бумагах и фондовых биржах", устанавливающий общие правила эмиссии и обращения ценных бумаг. Дополнительные требования к долговым инструментам содержатся в постановлениях Национального банка и Министерства финансов Республики Беларусь.</w:t>
      </w:r>
    </w:p>
    <w:p w14:paraId="19D81C1C" w14:textId="2BBE31D9" w:rsidR="00C64164" w:rsidRPr="00C64164" w:rsidRDefault="00C64164" w:rsidP="00E46C14">
      <w:pPr>
        <w:spacing w:before="120" w:after="0" w:line="360" w:lineRule="auto"/>
        <w:jc w:val="both"/>
        <w:rPr>
          <w:lang w:val="ru-RU"/>
        </w:rPr>
      </w:pPr>
      <w:r w:rsidRPr="00C64164">
        <w:rPr>
          <w:lang w:val="ru-RU"/>
        </w:rPr>
        <w:t>Важным шагом в развитии зеленого финансирования стало утверждение в 2021 году Национального плана действий по развитию "зеленой" экономики до 2025 года</w:t>
      </w:r>
      <w:r w:rsidR="00804507">
        <w:rPr>
          <w:rStyle w:val="ae"/>
          <w:lang w:val="ru-RU"/>
        </w:rPr>
        <w:footnoteReference w:id="2"/>
      </w:r>
      <w:r w:rsidRPr="00C64164">
        <w:rPr>
          <w:lang w:val="ru-RU"/>
        </w:rPr>
        <w:t>, где в качестве одного из приоритетных направлений обозначено развитие устойчивого финансирования, включая выпуск зеленых облигаций. В 2022-2023 годах началась работа по созданию нормативной базы, включающая разработку национальной таксономии зеленых проектов по аналогии с российским и казахстанским опытом, подготовку методических рекомендаций по выпуску зеленых облигаций, а также формирование ведомственных нормативных актов для банков и корпоративных эмитентов.</w:t>
      </w:r>
    </w:p>
    <w:p w14:paraId="2F7849C5" w14:textId="44058E58" w:rsidR="00C64164" w:rsidRPr="00C64164" w:rsidRDefault="00C64164" w:rsidP="00E46C14">
      <w:pPr>
        <w:spacing w:before="120" w:after="0" w:line="360" w:lineRule="auto"/>
        <w:jc w:val="both"/>
        <w:rPr>
          <w:lang w:val="ru-RU"/>
        </w:rPr>
      </w:pPr>
      <w:r w:rsidRPr="00C64164">
        <w:rPr>
          <w:lang w:val="ru-RU"/>
        </w:rPr>
        <w:t xml:space="preserve">На практике первый шаг в этом направлении был сделан в 2022 году, когда Белорусский народный банк осуществил выпуск "зеленых" сертификатов, направленных на финансирование проектов в области возобновляемых источников энергии. </w:t>
      </w:r>
      <w:r>
        <w:rPr>
          <w:lang w:val="ru-RU"/>
        </w:rPr>
        <w:t>П</w:t>
      </w:r>
      <w:r w:rsidRPr="00C64164">
        <w:rPr>
          <w:lang w:val="ru-RU"/>
        </w:rPr>
        <w:t>олноценный выпуск суверенных зеленых облигаций на национальном уровне пока не осуществл</w:t>
      </w:r>
      <w:r>
        <w:rPr>
          <w:lang w:val="ru-RU"/>
        </w:rPr>
        <w:t>яется</w:t>
      </w:r>
      <w:r w:rsidRPr="00C64164">
        <w:rPr>
          <w:lang w:val="ru-RU"/>
        </w:rPr>
        <w:t>, хотя этот вопрос активно обсуждается на уровне правительства и профильных министерств.</w:t>
      </w:r>
    </w:p>
    <w:p w14:paraId="4A53A519" w14:textId="656F45BC" w:rsidR="00C64164" w:rsidRPr="00C64164" w:rsidRDefault="00C64164" w:rsidP="00E46C14">
      <w:pPr>
        <w:spacing w:before="120" w:after="0" w:line="360" w:lineRule="auto"/>
        <w:jc w:val="both"/>
        <w:rPr>
          <w:lang w:val="ru-RU"/>
        </w:rPr>
      </w:pPr>
      <w:r w:rsidRPr="00C64164">
        <w:rPr>
          <w:lang w:val="ru-RU"/>
        </w:rPr>
        <w:t xml:space="preserve">Перспективы развития нормативной базы в Беларуси связаны с ожидаемым принятием специального нормативного акта о зеленых облигациях, который должен установить четкие правила их выпуска и обращения. Параллельно ведется работа по созданию национального стандарта отчетности для эмитентов и разработке механизмов независимой верификации </w:t>
      </w:r>
      <w:r>
        <w:rPr>
          <w:lang w:val="ru-RU"/>
        </w:rPr>
        <w:t>«зеленых»</w:t>
      </w:r>
      <w:r w:rsidRPr="00C64164">
        <w:rPr>
          <w:lang w:val="ru-RU"/>
        </w:rPr>
        <w:t xml:space="preserve"> проектов.</w:t>
      </w:r>
    </w:p>
    <w:p w14:paraId="60D3F50D" w14:textId="19FCC525" w:rsidR="00C64164" w:rsidRDefault="00C64164" w:rsidP="00E46C14">
      <w:pPr>
        <w:spacing w:before="120" w:after="0" w:line="360" w:lineRule="auto"/>
        <w:jc w:val="both"/>
        <w:rPr>
          <w:lang w:val="ru-RU"/>
        </w:rPr>
      </w:pPr>
      <w:r w:rsidRPr="00C64164">
        <w:rPr>
          <w:lang w:val="ru-RU"/>
        </w:rPr>
        <w:lastRenderedPageBreak/>
        <w:t>В процессе формирования собственной нормативной базы Беларусь активно изучает международный опыт, уделяя особое внимание регуляторным практикам России (в частности, опыту ВЭБ.РФ), Казахстана (стандартам Казахстанской фондовой биржи), Евр</w:t>
      </w:r>
      <w:r>
        <w:rPr>
          <w:lang w:val="ru-RU"/>
        </w:rPr>
        <w:t>азийского Банка Развития (ЕАБР)</w:t>
      </w:r>
      <w:r w:rsidRPr="00C64164">
        <w:rPr>
          <w:lang w:val="ru-RU"/>
        </w:rPr>
        <w:t>. Этот анализ позволяет учитывать лучшие международные практики при создании национальной системы регулирования зеленых облигаций, что в перспективе должно способствовать развитию данного сегмента финансового рынка и привлечению инвестиций в экологические проекты.</w:t>
      </w:r>
    </w:p>
    <w:p w14:paraId="433D06A3" w14:textId="77777777" w:rsidR="00E46C14" w:rsidRDefault="00B33FE3" w:rsidP="00E46C14">
      <w:pPr>
        <w:spacing w:before="120" w:line="360" w:lineRule="auto"/>
        <w:jc w:val="both"/>
        <w:rPr>
          <w:lang w:val="ru-RU"/>
        </w:rPr>
      </w:pPr>
      <w:r w:rsidRPr="00B33FE3">
        <w:rPr>
          <w:lang w:val="ru-RU"/>
        </w:rPr>
        <w:t xml:space="preserve">В настоящее время рынок зеленых облигаций в странах </w:t>
      </w:r>
      <w:r>
        <w:rPr>
          <w:lang w:val="ru-RU"/>
        </w:rPr>
        <w:t>ЕАЭС</w:t>
      </w:r>
      <w:r w:rsidRPr="00B33FE3">
        <w:rPr>
          <w:lang w:val="ru-RU"/>
        </w:rPr>
        <w:t xml:space="preserve"> развивается в рамках как национальных законодательств, так и международных стандартов. В Российской Федерации выпуск зеленых облигаций регулируется прежде всего Федеральным законом "О рынке ценных бумаг" (№ 39-ФЗ)</w:t>
      </w:r>
      <w:r w:rsidR="00E46C14">
        <w:rPr>
          <w:rStyle w:val="ae"/>
          <w:lang w:val="ru-RU"/>
        </w:rPr>
        <w:footnoteReference w:id="3"/>
      </w:r>
      <w:r w:rsidRPr="00B33FE3">
        <w:rPr>
          <w:lang w:val="ru-RU"/>
        </w:rPr>
        <w:t>, который устанавливает общие правила эмиссии долговых ценных бумаг. Минэкономразвития России совместно с ВЭБ.РФ разработали таксономию зеленых проектов, определяющую критерии отнесения проектов к категории "зеленых"</w:t>
      </w:r>
      <w:r>
        <w:rPr>
          <w:lang w:val="ru-RU"/>
        </w:rPr>
        <w:t>, «адаптационных», «социальных»</w:t>
      </w:r>
      <w:r w:rsidRPr="00B33FE3">
        <w:rPr>
          <w:lang w:val="ru-RU"/>
        </w:rPr>
        <w:t xml:space="preserve">. Банк России со своей стороны выпустил рекомендации по раскрытию информации эмитентами зеленых облигаций. </w:t>
      </w:r>
    </w:p>
    <w:p w14:paraId="152356D2" w14:textId="4AEF02B8" w:rsidR="00E46C14" w:rsidRPr="00E46C14" w:rsidRDefault="00E46C14" w:rsidP="00E46C14">
      <w:pPr>
        <w:spacing w:before="120" w:line="360" w:lineRule="auto"/>
        <w:jc w:val="both"/>
        <w:rPr>
          <w:lang w:val="ru-RU"/>
        </w:rPr>
      </w:pPr>
      <w:r w:rsidRPr="00E46C14">
        <w:rPr>
          <w:lang w:val="ru-RU"/>
        </w:rPr>
        <w:t>В России первые зеленые облигации были выпущены в 2016 году. Средства, привлеченные в рамках выпуска облигации ООО «Транспортная концессионная компания», были направлены на развитие экологически чистого городского транспорта.</w:t>
      </w:r>
      <w:r>
        <w:rPr>
          <w:lang w:val="ru-RU"/>
        </w:rPr>
        <w:t xml:space="preserve"> </w:t>
      </w:r>
      <w:r w:rsidRPr="00E46C14">
        <w:rPr>
          <w:lang w:val="ru-RU"/>
        </w:rPr>
        <w:t xml:space="preserve">В ответ на рост интереса участников рынка к данному типу финансовых инструментов в 2020 году было принято решение о разработке национального стандарта по зеленому финансированию. ВЭБ.РФ был определен в качестве национального методологического центра по </w:t>
      </w:r>
      <w:r w:rsidRPr="00E46C14">
        <w:t>ESG</w:t>
      </w:r>
      <w:r w:rsidRPr="00E46C14">
        <w:rPr>
          <w:lang w:val="ru-RU"/>
        </w:rPr>
        <w:t>-финансированию, ответственного в том числе за разработку национальной методологии</w:t>
      </w:r>
      <w:r>
        <w:rPr>
          <w:rStyle w:val="ae"/>
          <w:lang w:val="ru-RU"/>
        </w:rPr>
        <w:footnoteReference w:id="4"/>
      </w:r>
      <w:r w:rsidRPr="00E46C14">
        <w:rPr>
          <w:lang w:val="ru-RU"/>
        </w:rPr>
        <w:t xml:space="preserve">. Таксономия и стандарт были разработаны ВЭБ.РФ и Министерством экономического развития Российской Федерации при участии Банка России, профильных министерств, бизнес- и экспертного сообщества и утверждены Постановлением </w:t>
      </w:r>
      <w:r w:rsidR="000479E0">
        <w:rPr>
          <w:lang w:val="ru-RU"/>
        </w:rPr>
        <w:t xml:space="preserve">Правительства РФ </w:t>
      </w:r>
      <w:r w:rsidRPr="00E46C14">
        <w:rPr>
          <w:lang w:val="ru-RU"/>
        </w:rPr>
        <w:t>№1587.</w:t>
      </w:r>
    </w:p>
    <w:p w14:paraId="5E792AD3" w14:textId="07C66DE4" w:rsidR="00B33FE3" w:rsidRPr="00B33FE3" w:rsidRDefault="00B33FE3" w:rsidP="00E46C14">
      <w:pPr>
        <w:spacing w:before="120" w:after="0" w:line="360" w:lineRule="auto"/>
        <w:jc w:val="both"/>
        <w:rPr>
          <w:lang w:val="ru-RU"/>
        </w:rPr>
      </w:pPr>
      <w:r w:rsidRPr="00B33FE3">
        <w:rPr>
          <w:lang w:val="ru-RU"/>
        </w:rPr>
        <w:lastRenderedPageBreak/>
        <w:t xml:space="preserve">В Казахстане правовая база для зеленых облигаций заложена в </w:t>
      </w:r>
      <w:r w:rsidR="00C64164">
        <w:rPr>
          <w:lang w:val="ru-RU"/>
        </w:rPr>
        <w:t xml:space="preserve">законах по развитию </w:t>
      </w:r>
      <w:r w:rsidRPr="00B33FE3">
        <w:rPr>
          <w:lang w:val="ru-RU"/>
        </w:rPr>
        <w:t>зеленой экономик</w:t>
      </w:r>
      <w:r w:rsidR="00C64164">
        <w:rPr>
          <w:lang w:val="ru-RU"/>
        </w:rPr>
        <w:t>и</w:t>
      </w:r>
      <w:r w:rsidRPr="00B33FE3">
        <w:rPr>
          <w:lang w:val="ru-RU"/>
        </w:rPr>
        <w:t>, которы</w:t>
      </w:r>
      <w:r w:rsidR="00C64164">
        <w:rPr>
          <w:lang w:val="ru-RU"/>
        </w:rPr>
        <w:t>е</w:t>
      </w:r>
      <w:r w:rsidRPr="00B33FE3">
        <w:rPr>
          <w:lang w:val="ru-RU"/>
        </w:rPr>
        <w:t xml:space="preserve"> созда</w:t>
      </w:r>
      <w:r w:rsidR="00C64164">
        <w:rPr>
          <w:lang w:val="ru-RU"/>
        </w:rPr>
        <w:t>ю</w:t>
      </w:r>
      <w:r w:rsidRPr="00B33FE3">
        <w:rPr>
          <w:lang w:val="ru-RU"/>
        </w:rPr>
        <w:t>т основ</w:t>
      </w:r>
      <w:r w:rsidR="00C64164">
        <w:rPr>
          <w:lang w:val="ru-RU"/>
        </w:rPr>
        <w:t>у</w:t>
      </w:r>
      <w:r w:rsidRPr="00B33FE3">
        <w:rPr>
          <w:lang w:val="ru-RU"/>
        </w:rPr>
        <w:t xml:space="preserve"> для экологически ориентированного финансирования. Казахстанская фондовая биржа (KASE) разработала специальные требования к листингу зеленых облигаций. Министерство финансов Республики Казахстан совместно с международными организациями сформировало национальную таксономию зеленых проектов. В 2023 году Казахстан успешно разместил первые суверенные зеленые облигации на внутреннем рынке, что стало важным этапом развития зеленого финансирования в стране.</w:t>
      </w:r>
    </w:p>
    <w:p w14:paraId="0B88E1F5" w14:textId="7718E556" w:rsidR="00B33FE3" w:rsidRPr="00B33FE3" w:rsidRDefault="00B33FE3" w:rsidP="00E46C14">
      <w:pPr>
        <w:spacing w:before="120" w:after="0" w:line="360" w:lineRule="auto"/>
        <w:jc w:val="both"/>
        <w:rPr>
          <w:lang w:val="ru-RU"/>
        </w:rPr>
      </w:pPr>
      <w:r w:rsidRPr="00B33FE3">
        <w:rPr>
          <w:lang w:val="ru-RU"/>
        </w:rPr>
        <w:t>Евразийский банк развития как наднациональный финансовый институт играет значительную роль в развитии рынка зеленых облигаций в регионе</w:t>
      </w:r>
      <w:r w:rsidR="000479E0" w:rsidRPr="000479E0">
        <w:rPr>
          <w:lang w:val="ru-RU"/>
        </w:rPr>
        <w:t xml:space="preserve"> </w:t>
      </w:r>
      <w:r w:rsidR="000479E0">
        <w:rPr>
          <w:lang w:val="ru-RU"/>
        </w:rPr>
        <w:t>ЕАЭС</w:t>
      </w:r>
      <w:r w:rsidRPr="00B33FE3">
        <w:rPr>
          <w:lang w:val="ru-RU"/>
        </w:rPr>
        <w:t>. Банк разработал собственные стандарты зеленого финансирования, которые применяются для проектов в странах-участницах. Особое внимание ЕАБР уделяет процедурам независимой верификации, требующим подтверждения соответствия проектов установленным ESG-критериям.</w:t>
      </w:r>
    </w:p>
    <w:p w14:paraId="4DE5C589" w14:textId="0B247BF5" w:rsidR="00B33FE3" w:rsidRPr="00B33FE3" w:rsidRDefault="00B33FE3" w:rsidP="00E46C14">
      <w:pPr>
        <w:spacing w:before="120" w:after="0" w:line="360" w:lineRule="auto"/>
        <w:jc w:val="both"/>
        <w:rPr>
          <w:lang w:val="ru-RU"/>
        </w:rPr>
      </w:pPr>
      <w:r w:rsidRPr="00B33FE3">
        <w:rPr>
          <w:lang w:val="ru-RU"/>
        </w:rPr>
        <w:t>На международном уровне основополагающим документом являются Принципы зеленых облигаций (Green Bond Principles, GBP), разработанные Международной ассоциацией рынков капитала (ICMA). Эти принципы включают четыре ключевых компонента: целевое использование средств исключительно на зеленые проекты, прозрачный процесс оценки и отбора проектов, особый порядок управления привлеченными средствами и требования к регулярной отчетности. Более строгим стандартом является Climate Bonds Standard (CBI)</w:t>
      </w:r>
      <w:r w:rsidR="000479E0">
        <w:rPr>
          <w:rStyle w:val="ae"/>
          <w:lang w:val="ru-RU"/>
        </w:rPr>
        <w:footnoteReference w:id="5"/>
      </w:r>
      <w:r w:rsidRPr="00B33FE3">
        <w:rPr>
          <w:lang w:val="ru-RU"/>
        </w:rPr>
        <w:t>, предусматривающий обязательную сертификацию проектов. Для стран, ориентирующихся на европейских инвесторов, важное значение имеет Таксономия ЕС</w:t>
      </w:r>
      <w:r w:rsidR="000479E0">
        <w:rPr>
          <w:lang w:val="ru-RU"/>
        </w:rPr>
        <w:t xml:space="preserve"> для «устойчивой» деятельности</w:t>
      </w:r>
      <w:r w:rsidR="000479E0">
        <w:rPr>
          <w:rStyle w:val="ae"/>
          <w:lang w:val="ru-RU"/>
        </w:rPr>
        <w:footnoteReference w:id="6"/>
      </w:r>
      <w:r w:rsidRPr="00B33FE3">
        <w:rPr>
          <w:lang w:val="ru-RU"/>
        </w:rPr>
        <w:t>, которая служит ориентиром при выпуске облигаций</w:t>
      </w:r>
      <w:r w:rsidR="00C64164">
        <w:rPr>
          <w:lang w:val="ru-RU"/>
        </w:rPr>
        <w:t xml:space="preserve"> устойчивого развития</w:t>
      </w:r>
      <w:r w:rsidRPr="00B33FE3">
        <w:rPr>
          <w:lang w:val="ru-RU"/>
        </w:rPr>
        <w:t>.</w:t>
      </w:r>
    </w:p>
    <w:p w14:paraId="159DE2BA" w14:textId="6EE4E640" w:rsidR="00B33FE3" w:rsidRPr="00B33FE3" w:rsidRDefault="00B33FE3" w:rsidP="00E46C14">
      <w:pPr>
        <w:spacing w:before="120" w:after="0" w:line="360" w:lineRule="auto"/>
        <w:jc w:val="both"/>
        <w:rPr>
          <w:lang w:val="ru-RU"/>
        </w:rPr>
      </w:pPr>
      <w:r w:rsidRPr="00B33FE3">
        <w:rPr>
          <w:lang w:val="ru-RU"/>
        </w:rPr>
        <w:t xml:space="preserve">Требования к отчетности и раскрытию информации включают как универсальные положения, так и специфические для разных юрисдикций. Международные стандарты (ICMA, CBI) предусматривают обязательную подготовку годовых отчетов с детализацией использования средств, предоставление </w:t>
      </w:r>
      <w:r w:rsidRPr="00B33FE3">
        <w:rPr>
          <w:lang w:val="ru-RU"/>
        </w:rPr>
        <w:lastRenderedPageBreak/>
        <w:t>количественных показателей экологической эффективности (например, данных о сокращении выбросов CO₂), а также проведение независимого аудита (Second Party Opinion). В России дополнительно действуют требования Центрального банка по раскрытию информации и необходимость соответствия проектов национальной таксономии. В Казахстане эмитенты должны соблюдать стандарты отчетности KASE и критерии Министерства финансов</w:t>
      </w:r>
      <w:r w:rsidR="00C64164">
        <w:rPr>
          <w:lang w:val="ru-RU"/>
        </w:rPr>
        <w:t xml:space="preserve"> РК</w:t>
      </w:r>
      <w:r w:rsidRPr="00B33FE3">
        <w:rPr>
          <w:lang w:val="ru-RU"/>
        </w:rPr>
        <w:t xml:space="preserve">. </w:t>
      </w:r>
    </w:p>
    <w:p w14:paraId="4F0A38D6" w14:textId="63BBA2EA" w:rsidR="00D53A1A" w:rsidRPr="00D53A1A" w:rsidRDefault="00B33FE3" w:rsidP="00E46C14">
      <w:pPr>
        <w:spacing w:before="120" w:after="0" w:line="360" w:lineRule="auto"/>
        <w:jc w:val="both"/>
        <w:rPr>
          <w:lang w:val="ru-RU"/>
        </w:rPr>
      </w:pPr>
      <w:r w:rsidRPr="00B33FE3">
        <w:rPr>
          <w:lang w:val="ru-RU"/>
        </w:rPr>
        <w:t xml:space="preserve">Развитие рынка зеленых облигаций в регионе </w:t>
      </w:r>
      <w:r w:rsidR="00C64164">
        <w:rPr>
          <w:lang w:val="ru-RU"/>
        </w:rPr>
        <w:t xml:space="preserve">ЕАЭС </w:t>
      </w:r>
      <w:r w:rsidRPr="00B33FE3">
        <w:rPr>
          <w:lang w:val="ru-RU"/>
        </w:rPr>
        <w:t>сталкивается с рядом вызовов, среди которых наиболее существенными являются различия в национальных таксономиях, затрудняющие кросс-граничные размещения, и необходимость адаптации отчетности под требования разных бирж</w:t>
      </w:r>
      <w:r w:rsidR="00C64164">
        <w:rPr>
          <w:lang w:val="ru-RU"/>
        </w:rPr>
        <w:t xml:space="preserve"> и финансовых институтов</w:t>
      </w:r>
      <w:r w:rsidRPr="00B33FE3">
        <w:rPr>
          <w:lang w:val="ru-RU"/>
        </w:rPr>
        <w:t>. Перспективным направлением развития представляется гармонизация нормативных баз стран СНГ с международными стандартами, что позволит упростить процедуры верификации и сделать рынок более прозрачным для международных инвесторов.</w:t>
      </w:r>
    </w:p>
    <w:p w14:paraId="65AAB9B9" w14:textId="0EC2E04D" w:rsidR="005C3A7E" w:rsidRDefault="005C3A7E" w:rsidP="00E46C14">
      <w:pPr>
        <w:spacing w:before="120" w:after="0" w:line="360" w:lineRule="auto"/>
        <w:jc w:val="both"/>
        <w:rPr>
          <w:rFonts w:asciiTheme="majorHAnsi" w:eastAsiaTheme="majorEastAsia" w:hAnsiTheme="majorHAnsi" w:cstheme="majorBidi"/>
          <w:color w:val="0F4761" w:themeColor="accent1" w:themeShade="BF"/>
          <w:lang w:val="ru-RU"/>
        </w:rPr>
      </w:pPr>
      <w:r>
        <w:rPr>
          <w:lang w:val="ru-RU"/>
        </w:rPr>
        <w:br w:type="page"/>
      </w:r>
    </w:p>
    <w:p w14:paraId="279F943E" w14:textId="0042B49C" w:rsidR="00975E74" w:rsidRDefault="00975E74" w:rsidP="00E46C14">
      <w:pPr>
        <w:pStyle w:val="1"/>
        <w:spacing w:before="120" w:after="0" w:line="360" w:lineRule="auto"/>
        <w:jc w:val="both"/>
        <w:rPr>
          <w:sz w:val="28"/>
          <w:szCs w:val="28"/>
          <w:lang w:val="ru-RU"/>
        </w:rPr>
      </w:pPr>
      <w:bookmarkStart w:id="3" w:name="_Toc199749563"/>
      <w:r>
        <w:rPr>
          <w:sz w:val="28"/>
          <w:szCs w:val="28"/>
          <w:lang w:val="ru-RU"/>
        </w:rPr>
        <w:t xml:space="preserve">2. </w:t>
      </w:r>
      <w:r w:rsidR="00E86477">
        <w:rPr>
          <w:sz w:val="28"/>
          <w:szCs w:val="28"/>
          <w:lang w:val="ru-RU"/>
        </w:rPr>
        <w:t>Использование средств от размещения зеленых облигаций</w:t>
      </w:r>
      <w:r w:rsidR="00E86477" w:rsidRPr="00E86477">
        <w:rPr>
          <w:sz w:val="28"/>
          <w:szCs w:val="28"/>
          <w:lang w:val="ru-RU"/>
        </w:rPr>
        <w:t>: механизмы, требования и особенности</w:t>
      </w:r>
      <w:bookmarkEnd w:id="3"/>
    </w:p>
    <w:p w14:paraId="4A69811E" w14:textId="77777777" w:rsidR="00E86477" w:rsidRPr="00E86477" w:rsidRDefault="00E86477" w:rsidP="00E46C14">
      <w:pPr>
        <w:spacing w:before="120" w:after="0" w:line="360" w:lineRule="auto"/>
        <w:jc w:val="both"/>
        <w:rPr>
          <w:lang w:val="ru-RU"/>
        </w:rPr>
      </w:pPr>
      <w:r w:rsidRPr="00E86477">
        <w:rPr>
          <w:lang w:val="ru-RU"/>
        </w:rPr>
        <w:t>В системе зеленого финансирования ключевое значение имеет целевое использование средств, полученных от размещения облигаций. Международные принципы и национальные законодательства строго регламентируют направления расходования таких средств, процедуры контроля и требования к отчетности. В контексте энергосбережения выделяются три основных направления финансирования, каждое из которых имеет свои особенности в разных юрисдикциях.</w:t>
      </w:r>
    </w:p>
    <w:p w14:paraId="163F6686" w14:textId="334EA109" w:rsidR="00E86477" w:rsidRPr="00E86477" w:rsidRDefault="00E86477" w:rsidP="00E46C14">
      <w:pPr>
        <w:spacing w:before="120" w:after="0" w:line="360" w:lineRule="auto"/>
        <w:jc w:val="both"/>
        <w:rPr>
          <w:lang w:val="ru-RU"/>
        </w:rPr>
      </w:pPr>
      <w:r w:rsidRPr="00E86477">
        <w:rPr>
          <w:lang w:val="ru-RU"/>
        </w:rPr>
        <w:t>Повышение энергоэффективности представляет важное направление использования средств зеленых облигаций. В российской практике особый акцент делается на программах глубокой модернизации промышленных предприятий и жилищно-коммунального комплекса, где минимальный порог повышения энергоэффективности установлен на уровне 15%. Казахстанские регуляторы уделяют особое внимание внедрению интеллектуальных систем учета энергоресурсов, треб</w:t>
      </w:r>
      <w:r w:rsidR="008252E7">
        <w:rPr>
          <w:lang w:val="ru-RU"/>
        </w:rPr>
        <w:t>у</w:t>
      </w:r>
      <w:r w:rsidRPr="00E86477">
        <w:rPr>
          <w:lang w:val="ru-RU"/>
        </w:rPr>
        <w:t>я от получателей финансирования обязательного оснащения объектов приборами SMART-учета. Стандарты Евразийск</w:t>
      </w:r>
      <w:r>
        <w:rPr>
          <w:lang w:val="ru-RU"/>
        </w:rPr>
        <w:t>ого</w:t>
      </w:r>
      <w:r w:rsidRPr="00E86477">
        <w:rPr>
          <w:lang w:val="ru-RU"/>
        </w:rPr>
        <w:t xml:space="preserve"> банк</w:t>
      </w:r>
      <w:r>
        <w:rPr>
          <w:lang w:val="ru-RU"/>
        </w:rPr>
        <w:t>а</w:t>
      </w:r>
      <w:r w:rsidRPr="00E86477">
        <w:rPr>
          <w:lang w:val="ru-RU"/>
        </w:rPr>
        <w:t xml:space="preserve"> развития предусматривают более жесткие требования - финансирование получают только те проекты, которые могут продемонстрировать потенциальное снижение энергопотребления не менее чем на 20% по сравнению с базовым сценарием.</w:t>
      </w:r>
    </w:p>
    <w:p w14:paraId="6DF71E92" w14:textId="0CF17193" w:rsidR="00E86477" w:rsidRPr="00E86477" w:rsidRDefault="00E86477" w:rsidP="00E46C14">
      <w:pPr>
        <w:spacing w:before="120" w:after="0" w:line="360" w:lineRule="auto"/>
        <w:jc w:val="both"/>
        <w:rPr>
          <w:lang w:val="ru-RU"/>
        </w:rPr>
      </w:pPr>
      <w:r w:rsidRPr="00E86477">
        <w:rPr>
          <w:lang w:val="ru-RU"/>
        </w:rPr>
        <w:t xml:space="preserve">Проекты </w:t>
      </w:r>
      <w:r>
        <w:rPr>
          <w:lang w:val="ru-RU"/>
        </w:rPr>
        <w:t xml:space="preserve">по использованию </w:t>
      </w:r>
      <w:r w:rsidRPr="00E86477">
        <w:rPr>
          <w:lang w:val="ru-RU"/>
        </w:rPr>
        <w:t>возобновляем</w:t>
      </w:r>
      <w:r>
        <w:rPr>
          <w:lang w:val="ru-RU"/>
        </w:rPr>
        <w:t xml:space="preserve">ых источников </w:t>
      </w:r>
      <w:r w:rsidRPr="00E86477">
        <w:rPr>
          <w:lang w:val="ru-RU"/>
        </w:rPr>
        <w:t>энерг</w:t>
      </w:r>
      <w:r>
        <w:rPr>
          <w:lang w:val="ru-RU"/>
        </w:rPr>
        <w:t>ии (ВИЭ)</w:t>
      </w:r>
      <w:r w:rsidRPr="00E86477">
        <w:rPr>
          <w:lang w:val="ru-RU"/>
        </w:rPr>
        <w:t xml:space="preserve"> составляют </w:t>
      </w:r>
      <w:r>
        <w:rPr>
          <w:lang w:val="ru-RU"/>
        </w:rPr>
        <w:t>значимую часть</w:t>
      </w:r>
      <w:r w:rsidRPr="00E86477">
        <w:rPr>
          <w:lang w:val="ru-RU"/>
        </w:rPr>
        <w:t xml:space="preserve"> зеленого финансирования. В Российской Федерации такие проекты должны соответствовать таксономии зеленых проектов, разработанной Минэкономразвития</w:t>
      </w:r>
      <w:r>
        <w:rPr>
          <w:lang w:val="ru-RU"/>
        </w:rPr>
        <w:t xml:space="preserve"> России</w:t>
      </w:r>
      <w:r w:rsidRPr="00E86477">
        <w:rPr>
          <w:lang w:val="ru-RU"/>
        </w:rPr>
        <w:t>, которая включает подробные технические требования к солнечным, ветровым и гидроэлектростанциям. Казахстанский подход предполагает обязательную сертификацию проектов по стандартам KASE Green, включающую оценку их вклада в достижение целей углеродной нейтральности. Евразийский банк развития</w:t>
      </w:r>
      <w:r>
        <w:rPr>
          <w:lang w:val="ru-RU"/>
        </w:rPr>
        <w:t xml:space="preserve"> </w:t>
      </w:r>
      <w:r w:rsidRPr="00E86477">
        <w:rPr>
          <w:lang w:val="ru-RU"/>
        </w:rPr>
        <w:t>при финансировании объектов ВИЭ дополнительно требует проведения комплексной оценки экологического воздействия по международным методикам, включая анализ жизненного цикла проекта.</w:t>
      </w:r>
    </w:p>
    <w:p w14:paraId="36DFAA40" w14:textId="1C173EA6" w:rsidR="00E86477" w:rsidRPr="00E86477" w:rsidRDefault="00E86477" w:rsidP="00E46C14">
      <w:pPr>
        <w:spacing w:before="120" w:after="0" w:line="360" w:lineRule="auto"/>
        <w:jc w:val="both"/>
        <w:rPr>
          <w:lang w:val="ru-RU"/>
        </w:rPr>
      </w:pPr>
      <w:r w:rsidRPr="00E86477">
        <w:rPr>
          <w:lang w:val="ru-RU"/>
        </w:rPr>
        <w:t xml:space="preserve">Устойчивая инфраструктура как направление </w:t>
      </w:r>
      <w:r>
        <w:rPr>
          <w:lang w:val="ru-RU"/>
        </w:rPr>
        <w:t xml:space="preserve">зеленого </w:t>
      </w:r>
      <w:r w:rsidRPr="00E86477">
        <w:rPr>
          <w:lang w:val="ru-RU"/>
        </w:rPr>
        <w:t>финансирования включает широкий спектр проектов - от энергоэффективного строительства до развития низкоуглеродного транспорта. Российские регуляторы делают акцент на соответствии объектов строительства международным стандартам BREEAM</w:t>
      </w:r>
      <w:r w:rsidR="00804507">
        <w:rPr>
          <w:rStyle w:val="ae"/>
          <w:lang w:val="ru-RU"/>
        </w:rPr>
        <w:footnoteReference w:id="7"/>
      </w:r>
      <w:r w:rsidRPr="00E86477">
        <w:rPr>
          <w:lang w:val="ru-RU"/>
        </w:rPr>
        <w:t xml:space="preserve"> или LEED</w:t>
      </w:r>
      <w:r w:rsidR="00804507">
        <w:rPr>
          <w:rStyle w:val="ae"/>
          <w:lang w:val="ru-RU"/>
        </w:rPr>
        <w:footnoteReference w:id="8"/>
      </w:r>
      <w:r w:rsidRPr="00E86477">
        <w:rPr>
          <w:lang w:val="ru-RU"/>
        </w:rPr>
        <w:t>, что особенно важно для проектов, ориентированных на привлечение иностранных инвесторов. В Казахстане действует система национальных зеленых стандартов строительства, обязательных для всех объектов, финансируемых за счет зеленых облигаций. ЕАБР при финансировании инфраструктурных проектов требует их соответствия принципам наилучших доступных технологий (НДТ) и обязательной интеграции элементов "умного города".</w:t>
      </w:r>
    </w:p>
    <w:p w14:paraId="6FBEE83D" w14:textId="5C373E03" w:rsidR="007D13B9" w:rsidRDefault="00E86477" w:rsidP="00E46C14">
      <w:pPr>
        <w:spacing w:before="120" w:after="0" w:line="360" w:lineRule="auto"/>
        <w:jc w:val="both"/>
        <w:rPr>
          <w:lang w:val="ru-RU"/>
        </w:rPr>
      </w:pPr>
      <w:r w:rsidRPr="00E86477">
        <w:rPr>
          <w:lang w:val="ru-RU"/>
        </w:rPr>
        <w:t>Система контроля за распределением средств включает несколько ключевых элементов</w:t>
      </w:r>
      <w:r w:rsidR="007D13B9">
        <w:rPr>
          <w:lang w:val="ru-RU"/>
        </w:rPr>
        <w:t>:</w:t>
      </w:r>
    </w:p>
    <w:p w14:paraId="584B892B" w14:textId="77777777" w:rsidR="007D13B9" w:rsidRDefault="007D13B9" w:rsidP="00E46C14">
      <w:pPr>
        <w:spacing w:before="120" w:after="0" w:line="360" w:lineRule="auto"/>
        <w:jc w:val="both"/>
        <w:rPr>
          <w:lang w:val="ru-RU"/>
        </w:rPr>
      </w:pPr>
      <w:r w:rsidRPr="007D13B9">
        <w:rPr>
          <w:b/>
          <w:bCs/>
          <w:lang w:val="ru-RU"/>
        </w:rPr>
        <w:t>Раздельный учет средств</w:t>
      </w:r>
      <w:r w:rsidRPr="007D13B9">
        <w:rPr>
          <w:lang w:val="ru-RU"/>
        </w:rPr>
        <w:t xml:space="preserve"> обязателен во всех юрисдикциях. В России для этого создаются специальные субсчета</w:t>
      </w:r>
      <w:r>
        <w:rPr>
          <w:lang w:val="ru-RU"/>
        </w:rPr>
        <w:t>. В</w:t>
      </w:r>
      <w:r w:rsidRPr="007D13B9">
        <w:rPr>
          <w:lang w:val="ru-RU"/>
        </w:rPr>
        <w:t xml:space="preserve"> Казахстане </w:t>
      </w:r>
      <w:r w:rsidRPr="00E86477">
        <w:rPr>
          <w:lang w:val="ru-RU"/>
        </w:rPr>
        <w:t>заемщики используют механизм обособленных бюджетных программ</w:t>
      </w:r>
      <w:r w:rsidRPr="007D13B9">
        <w:rPr>
          <w:lang w:val="ru-RU"/>
        </w:rPr>
        <w:t xml:space="preserve">. ЕАБР требует открытия эскроу-счетов </w:t>
      </w:r>
      <w:r w:rsidRPr="00E86477">
        <w:rPr>
          <w:lang w:val="ru-RU"/>
        </w:rPr>
        <w:t xml:space="preserve">с четко определенными условиями использования средств. </w:t>
      </w:r>
    </w:p>
    <w:p w14:paraId="53CABBF0" w14:textId="32288A39" w:rsidR="007D13B9" w:rsidRPr="007D13B9" w:rsidRDefault="007D13B9" w:rsidP="00E46C14">
      <w:pPr>
        <w:spacing w:before="120" w:after="0" w:line="360" w:lineRule="auto"/>
        <w:jc w:val="both"/>
        <w:rPr>
          <w:lang w:val="ru-RU"/>
        </w:rPr>
      </w:pPr>
      <w:r w:rsidRPr="007D13B9">
        <w:rPr>
          <w:b/>
          <w:bCs/>
          <w:lang w:val="ru-RU"/>
        </w:rPr>
        <w:t>Процесс отбора проектов</w:t>
      </w:r>
      <w:r w:rsidRPr="007D13B9">
        <w:rPr>
          <w:lang w:val="ru-RU"/>
        </w:rPr>
        <w:t xml:space="preserve"> имеет национальные особенности:</w:t>
      </w:r>
    </w:p>
    <w:p w14:paraId="357BE4AF" w14:textId="389CECE9" w:rsidR="007D13B9" w:rsidRPr="007D13B9" w:rsidRDefault="007D13B9" w:rsidP="00E46C14">
      <w:pPr>
        <w:pStyle w:val="a7"/>
        <w:numPr>
          <w:ilvl w:val="0"/>
          <w:numId w:val="11"/>
        </w:numPr>
        <w:spacing w:before="120" w:after="0" w:line="360" w:lineRule="auto"/>
        <w:jc w:val="both"/>
        <w:rPr>
          <w:lang w:val="ru-RU"/>
        </w:rPr>
      </w:pPr>
      <w:r w:rsidRPr="007D13B9">
        <w:rPr>
          <w:lang w:val="ru-RU"/>
        </w:rPr>
        <w:t xml:space="preserve">В России действует многоуровневая экспертиза с участием ВЭБ.РФ </w:t>
      </w:r>
      <w:r w:rsidRPr="00E86477">
        <w:rPr>
          <w:lang w:val="ru-RU"/>
        </w:rPr>
        <w:t>на заключительном этапе.</w:t>
      </w:r>
    </w:p>
    <w:p w14:paraId="29311C8A" w14:textId="77777777" w:rsidR="007D13B9" w:rsidRDefault="007D13B9" w:rsidP="00E46C14">
      <w:pPr>
        <w:pStyle w:val="a7"/>
        <w:numPr>
          <w:ilvl w:val="0"/>
          <w:numId w:val="11"/>
        </w:numPr>
        <w:spacing w:before="120" w:after="0" w:line="360" w:lineRule="auto"/>
        <w:jc w:val="both"/>
        <w:rPr>
          <w:lang w:val="ru-RU"/>
        </w:rPr>
      </w:pPr>
      <w:r w:rsidRPr="00E86477">
        <w:rPr>
          <w:lang w:val="ru-RU"/>
        </w:rPr>
        <w:t xml:space="preserve">Казахстанская модель основана на балльной системе оценки, включающей около 50 различных критериев, при этом минимальный проходной балл устанавливается Министерством финансов. </w:t>
      </w:r>
    </w:p>
    <w:p w14:paraId="7FD57289" w14:textId="2F50A07F" w:rsidR="007D13B9" w:rsidRPr="007D13B9" w:rsidRDefault="007D13B9" w:rsidP="00E46C14">
      <w:pPr>
        <w:pStyle w:val="a7"/>
        <w:numPr>
          <w:ilvl w:val="0"/>
          <w:numId w:val="11"/>
        </w:numPr>
        <w:spacing w:before="120" w:after="0" w:line="360" w:lineRule="auto"/>
        <w:jc w:val="both"/>
        <w:rPr>
          <w:lang w:val="ru-RU"/>
        </w:rPr>
      </w:pPr>
      <w:r w:rsidRPr="00E86477">
        <w:rPr>
          <w:lang w:val="ru-RU"/>
        </w:rPr>
        <w:t>ЕАБР применяет комплексную процедуру Due Diligence, соответствующую международным стандартам оценки экологических и социальных рисков.</w:t>
      </w:r>
    </w:p>
    <w:p w14:paraId="0D004008" w14:textId="1C328145" w:rsidR="00E86477" w:rsidRPr="00E86477" w:rsidRDefault="00E86477" w:rsidP="00E46C14">
      <w:pPr>
        <w:spacing w:before="120" w:after="0" w:line="360" w:lineRule="auto"/>
        <w:jc w:val="both"/>
        <w:rPr>
          <w:lang w:val="ru-RU"/>
        </w:rPr>
      </w:pPr>
      <w:r w:rsidRPr="00E86477">
        <w:rPr>
          <w:lang w:val="ru-RU"/>
        </w:rPr>
        <w:t>Требования к документации отличаются высокой степенью детализации. Все договоры и соглашения по зеленым проектам в России должны содержать ссылки на положения таксономии Минэкономразвития и предусматривать ответственность за нецелевое использование средств. Казахстанские нормативы требуют включения в договорные документы специальных условий, гарантирующих соответствие проекта требованиям KASE Green. ЕАБР вводит обязательные ESG-</w:t>
      </w:r>
      <w:r w:rsidR="007D13B9">
        <w:rPr>
          <w:lang w:val="ru-RU"/>
        </w:rPr>
        <w:t>положения</w:t>
      </w:r>
      <w:r w:rsidRPr="00E86477">
        <w:rPr>
          <w:lang w:val="ru-RU"/>
        </w:rPr>
        <w:t>, которые предусматривают право банка на досрочный отзыв финансирования в случае нарушения экологических обязательств.</w:t>
      </w:r>
    </w:p>
    <w:p w14:paraId="2259DF50" w14:textId="7DD6E0A1" w:rsidR="00E86477" w:rsidRPr="00E86477" w:rsidRDefault="00E86477" w:rsidP="00E46C14">
      <w:pPr>
        <w:spacing w:before="120" w:after="0" w:line="360" w:lineRule="auto"/>
        <w:jc w:val="both"/>
        <w:rPr>
          <w:lang w:val="ru-RU"/>
        </w:rPr>
      </w:pPr>
      <w:r w:rsidRPr="00E86477">
        <w:rPr>
          <w:lang w:val="ru-RU"/>
        </w:rPr>
        <w:t>Система финансовой отчетности и документального подтверждения расходов также имеет свои особенности. Российские эмитенты обязаны предоставлять в Центральный банк ежеквартальные отчеты, содержащие детальную расшифровку всех расходов с приложением первичных документов. В Казахстане действует система ежемесячного мониторинга через платформу KASE, при этом особое внимание уделяется соответствию фактических показателей проекта заявленным целям по снижению выбросов. ЕАБР использует цифровую систему мониторинга, которая позволяет в режиме реального времени отслеживать исполнение проектов.</w:t>
      </w:r>
    </w:p>
    <w:p w14:paraId="5232B25F" w14:textId="1CB702C2" w:rsidR="00E86477" w:rsidRPr="00E86477" w:rsidRDefault="00E86477" w:rsidP="00E46C14">
      <w:pPr>
        <w:spacing w:before="120" w:after="0" w:line="360" w:lineRule="auto"/>
        <w:jc w:val="both"/>
        <w:rPr>
          <w:lang w:val="ru-RU"/>
        </w:rPr>
      </w:pPr>
      <w:r w:rsidRPr="00E86477">
        <w:rPr>
          <w:lang w:val="ru-RU"/>
        </w:rPr>
        <w:t xml:space="preserve">Аудит использования средств зеленых облигаций представляет собой отдельное важное направление контроля. В России он проводится уполномоченными организациями, включенными в специальный реестр Минэкономразвития. Казахстанская модель предполагает обязательную верификацию через сеть специализированных "зеленых" центров, аккредитованных при Министерстве финансов. ЕАБР для всех финансируемых проектов требует проведения независимого международного аудита </w:t>
      </w:r>
      <w:r w:rsidRPr="00A20EB5">
        <w:rPr>
          <w:lang w:val="ru-RU"/>
        </w:rPr>
        <w:t>по стандартам AA1000</w:t>
      </w:r>
      <w:r w:rsidR="00A20EB5">
        <w:rPr>
          <w:lang w:val="ru-RU"/>
        </w:rPr>
        <w:t xml:space="preserve"> (</w:t>
      </w:r>
      <w:r w:rsidR="00A20EB5" w:rsidRPr="00A20EB5">
        <w:rPr>
          <w:lang w:val="ru-RU"/>
        </w:rPr>
        <w:t>верификаци</w:t>
      </w:r>
      <w:r w:rsidR="00A20EB5">
        <w:rPr>
          <w:lang w:val="ru-RU"/>
        </w:rPr>
        <w:t>я</w:t>
      </w:r>
      <w:r w:rsidR="00A20EB5" w:rsidRPr="00A20EB5">
        <w:rPr>
          <w:lang w:val="ru-RU"/>
        </w:rPr>
        <w:t xml:space="preserve"> отчетности организации по устойчивому развитию, а также оценки ее процессов и систем</w:t>
      </w:r>
      <w:r w:rsidR="00A20EB5">
        <w:rPr>
          <w:lang w:val="ru-RU"/>
        </w:rPr>
        <w:t>)</w:t>
      </w:r>
      <w:r w:rsidRPr="00E86477">
        <w:rPr>
          <w:lang w:val="ru-RU"/>
        </w:rPr>
        <w:t>, что обеспечивает признание результатов на международных рынках капитала.</w:t>
      </w:r>
    </w:p>
    <w:p w14:paraId="47C40162" w14:textId="3E840D55" w:rsidR="00E86477" w:rsidRPr="00E86477" w:rsidRDefault="00E86477" w:rsidP="00E46C14">
      <w:pPr>
        <w:spacing w:before="120" w:after="0" w:line="360" w:lineRule="auto"/>
        <w:jc w:val="both"/>
        <w:rPr>
          <w:lang w:val="ru-RU"/>
        </w:rPr>
      </w:pPr>
      <w:r w:rsidRPr="00E86477">
        <w:rPr>
          <w:lang w:val="ru-RU"/>
        </w:rPr>
        <w:t>Региональные различия в подходах к использованию средств зеленых облигаций отражают как особенности национальных экономик, так и степень интеграции в международную систему зеленого финансирования. При этом прослеживается четкая тенденция к гармонизации требований, что особенно заметно на примере постепенного сближения российских и казахстанских стандартов с принципами EU Green Bond Standard. Развитие системы использования средств зеленых облигаций продолжает эволюционировать, реагируя на изменения в международной практике и потребности национальных экономик в переходе к низкоуглеродному развитию.</w:t>
      </w:r>
    </w:p>
    <w:p w14:paraId="5B256349" w14:textId="19F42F37" w:rsidR="003F3804" w:rsidRDefault="003F3804" w:rsidP="00E46C14">
      <w:pPr>
        <w:spacing w:before="120" w:after="0" w:line="360" w:lineRule="auto"/>
        <w:jc w:val="both"/>
        <w:rPr>
          <w:rFonts w:asciiTheme="majorHAnsi" w:eastAsiaTheme="majorEastAsia" w:hAnsiTheme="majorHAnsi" w:cstheme="majorBidi"/>
          <w:color w:val="0F4761" w:themeColor="accent1" w:themeShade="BF"/>
          <w:sz w:val="28"/>
          <w:szCs w:val="28"/>
          <w:lang w:val="ru-RU"/>
        </w:rPr>
      </w:pPr>
      <w:r>
        <w:rPr>
          <w:sz w:val="28"/>
          <w:szCs w:val="28"/>
          <w:lang w:val="ru-RU"/>
        </w:rPr>
        <w:br w:type="page"/>
      </w:r>
    </w:p>
    <w:p w14:paraId="7E2E1168" w14:textId="13A400A6" w:rsidR="00975E74" w:rsidRDefault="00975E74" w:rsidP="00E46C14">
      <w:pPr>
        <w:pStyle w:val="1"/>
        <w:spacing w:before="120" w:after="0" w:line="360" w:lineRule="auto"/>
        <w:jc w:val="both"/>
        <w:rPr>
          <w:sz w:val="28"/>
          <w:szCs w:val="28"/>
          <w:lang w:val="ru-RU"/>
        </w:rPr>
      </w:pPr>
      <w:bookmarkStart w:id="4" w:name="_Toc199749564"/>
      <w:r>
        <w:rPr>
          <w:sz w:val="28"/>
          <w:szCs w:val="28"/>
          <w:lang w:val="ru-RU"/>
        </w:rPr>
        <w:t xml:space="preserve">3. </w:t>
      </w:r>
      <w:r w:rsidR="000679E0" w:rsidRPr="000679E0">
        <w:rPr>
          <w:sz w:val="28"/>
          <w:szCs w:val="28"/>
          <w:lang w:val="ru-RU"/>
        </w:rPr>
        <w:t>Механизмы учета и отчетности по зеленым облигациям</w:t>
      </w:r>
      <w:bookmarkEnd w:id="4"/>
    </w:p>
    <w:p w14:paraId="00126063" w14:textId="678F5D5A" w:rsidR="009E6D4B" w:rsidRPr="003F3804" w:rsidRDefault="009E6D4B" w:rsidP="00E46C14">
      <w:pPr>
        <w:pStyle w:val="2"/>
        <w:spacing w:before="120" w:after="0" w:line="360" w:lineRule="auto"/>
        <w:jc w:val="both"/>
        <w:rPr>
          <w:sz w:val="24"/>
          <w:szCs w:val="24"/>
          <w:lang w:val="ru-RU"/>
        </w:rPr>
      </w:pPr>
      <w:bookmarkStart w:id="5" w:name="_Toc199749565"/>
      <w:r w:rsidRPr="003F3804">
        <w:rPr>
          <w:sz w:val="24"/>
          <w:szCs w:val="24"/>
          <w:lang w:val="ru-RU"/>
        </w:rPr>
        <w:t xml:space="preserve">3.1. </w:t>
      </w:r>
      <w:r w:rsidR="000679E0" w:rsidRPr="000679E0">
        <w:rPr>
          <w:sz w:val="24"/>
          <w:szCs w:val="24"/>
          <w:lang w:val="ru-RU"/>
        </w:rPr>
        <w:t>Внутренние процедуры бухгалтерского учета</w:t>
      </w:r>
      <w:bookmarkEnd w:id="5"/>
    </w:p>
    <w:p w14:paraId="10752265" w14:textId="41561FE6" w:rsidR="000679E0" w:rsidRPr="000679E0" w:rsidRDefault="000679E0" w:rsidP="00E46C14">
      <w:pPr>
        <w:spacing w:before="120" w:after="0" w:line="360" w:lineRule="auto"/>
        <w:jc w:val="both"/>
        <w:rPr>
          <w:lang w:val="ru-RU"/>
        </w:rPr>
      </w:pPr>
      <w:r w:rsidRPr="000679E0">
        <w:rPr>
          <w:lang w:val="ru-RU"/>
        </w:rPr>
        <w:t xml:space="preserve">В системе управления средствами зеленых облигаций особое значение придается организации внутреннего учета. Российские </w:t>
      </w:r>
      <w:r>
        <w:rPr>
          <w:lang w:val="ru-RU"/>
        </w:rPr>
        <w:t xml:space="preserve">требования к </w:t>
      </w:r>
      <w:r w:rsidRPr="000679E0">
        <w:rPr>
          <w:lang w:val="ru-RU"/>
        </w:rPr>
        <w:t>эмитент</w:t>
      </w:r>
      <w:r>
        <w:rPr>
          <w:lang w:val="ru-RU"/>
        </w:rPr>
        <w:t xml:space="preserve">ам предусматривают ведение </w:t>
      </w:r>
      <w:r w:rsidRPr="000679E0">
        <w:rPr>
          <w:lang w:val="ru-RU"/>
        </w:rPr>
        <w:t>отдельн</w:t>
      </w:r>
      <w:r>
        <w:rPr>
          <w:lang w:val="ru-RU"/>
        </w:rPr>
        <w:t xml:space="preserve">ого </w:t>
      </w:r>
      <w:r w:rsidRPr="000679E0">
        <w:rPr>
          <w:lang w:val="ru-RU"/>
        </w:rPr>
        <w:t>реестр</w:t>
      </w:r>
      <w:r>
        <w:rPr>
          <w:lang w:val="ru-RU"/>
        </w:rPr>
        <w:t>а</w:t>
      </w:r>
      <w:r w:rsidRPr="000679E0">
        <w:rPr>
          <w:lang w:val="ru-RU"/>
        </w:rPr>
        <w:t xml:space="preserve"> операций со средствами зеленых облигаций в соответствии с требованиями Банка России, который </w:t>
      </w:r>
      <w:r>
        <w:rPr>
          <w:lang w:val="ru-RU"/>
        </w:rPr>
        <w:t xml:space="preserve">требует </w:t>
      </w:r>
      <w:r w:rsidRPr="000679E0">
        <w:rPr>
          <w:lang w:val="ru-RU"/>
        </w:rPr>
        <w:t>детализаци</w:t>
      </w:r>
      <w:r>
        <w:rPr>
          <w:lang w:val="ru-RU"/>
        </w:rPr>
        <w:t>и</w:t>
      </w:r>
      <w:r w:rsidRPr="000679E0">
        <w:rPr>
          <w:lang w:val="ru-RU"/>
        </w:rPr>
        <w:t xml:space="preserve"> всех поступлений и расходов по каждому финансируемому проекту. Реестр должен содержать информацию о датах операций, суммах, назначении платежей и привязке к конкретным </w:t>
      </w:r>
      <w:r>
        <w:rPr>
          <w:lang w:val="ru-RU"/>
        </w:rPr>
        <w:t xml:space="preserve">«зеленым» </w:t>
      </w:r>
      <w:r w:rsidRPr="000679E0">
        <w:rPr>
          <w:lang w:val="ru-RU"/>
        </w:rPr>
        <w:t>показателям</w:t>
      </w:r>
      <w:r>
        <w:rPr>
          <w:lang w:val="ru-RU"/>
        </w:rPr>
        <w:t>, заявленным в проекте</w:t>
      </w:r>
      <w:r w:rsidRPr="000679E0">
        <w:rPr>
          <w:lang w:val="ru-RU"/>
        </w:rPr>
        <w:t>. В Казахстане аналогичные требования закреплены в правилах KASE, при этом особый акцент делается на отражении соответствия расходов положениям национальной таксономии зеленых проектов. ЕАБР использует более сложную многоуровневую систему учета, включающую автоматизированный мониторинг движения средств в режиме реального времени через специальную цифровую платформу.</w:t>
      </w:r>
    </w:p>
    <w:p w14:paraId="32CF2482" w14:textId="08B228CE" w:rsidR="00AE5E55" w:rsidRPr="00AE5E55" w:rsidRDefault="000679E0" w:rsidP="00E46C14">
      <w:pPr>
        <w:spacing w:before="120" w:after="0" w:line="360" w:lineRule="auto"/>
        <w:jc w:val="both"/>
        <w:rPr>
          <w:lang w:val="ru-RU"/>
        </w:rPr>
      </w:pPr>
      <w:r w:rsidRPr="000679E0">
        <w:rPr>
          <w:lang w:val="ru-RU"/>
        </w:rPr>
        <w:t xml:space="preserve">Регулярные аудиты и сверки являются обязательным элементом системы внутреннего контроля. </w:t>
      </w:r>
      <w:r w:rsidR="00AE5E55" w:rsidRPr="00AE5E55">
        <w:rPr>
          <w:b/>
          <w:bCs/>
          <w:lang w:val="ru-RU"/>
        </w:rPr>
        <w:t>В Российской Федерации</w:t>
      </w:r>
      <w:r w:rsidR="00AE5E55" w:rsidRPr="00AE5E55">
        <w:rPr>
          <w:lang w:val="ru-RU"/>
        </w:rPr>
        <w:t xml:space="preserve"> система регулярных аудитов и сверок по учету средств зеленых облигаций представляет собой строго регламентированный процесс, закрепленный в нормативных документах Банка России и Минэкономразвития. Данный механизм контроля является обязательным для всех эмитентов, осуществляющих выпуск зеленых финансовых инструментов на территории РФ. Согласно Положению Банка России № 706-П "О стандартах эмиссии ценных бумаг", аудиторские проверки средств зеленых облигаций должны проводиться не реже одного раза в квартал. При этом для отдельных категорий эмитентов, таких как государственные корпорации и системообразующие предприятия, установлена повышенная частота проверок — ежемесячно. Основанием для проведения внеочередного аудита может служить превышение лимитов расходования средств по отдельным статьям, изменение параметров финансируемого проекта, а также требования регулятора или значимых инвесторов.</w:t>
      </w:r>
    </w:p>
    <w:p w14:paraId="4FB86372" w14:textId="77777777" w:rsidR="00AE5E55" w:rsidRPr="00AE5E55" w:rsidRDefault="00AE5E55" w:rsidP="00E46C14">
      <w:pPr>
        <w:spacing w:before="120" w:after="0" w:line="360" w:lineRule="auto"/>
        <w:jc w:val="both"/>
        <w:rPr>
          <w:lang w:val="ru-RU"/>
        </w:rPr>
      </w:pPr>
      <w:r w:rsidRPr="00AE5E55">
        <w:rPr>
          <w:lang w:val="ru-RU"/>
        </w:rPr>
        <w:t>Каждая проверка осуществляется комиссией, формируемой из представителей внутренней аудиторской службы эмитента (не менее трех специалистов), независимых внешних консультантов из аккредитованного перечня Минэкономразвития, а также профильных экспертов по направлению проекта — например, в области энергетики или экологии. Процедура проверки включает несколько взаимосвязанных этапов. Документарная проверка охватывает анализ первичных учетных документов, сверку платежных поручений с договорами, проверку соответствия расходов таксономии зеленых проектов и контроль соблюдения сроков финансирования. Фактический контроль включает выездные проверки на объекты, инвентаризацию приобретенных активов, визуальную оценку выполненных работ и опрос персонала и подрядчиков. Аналитический этап охватывает расчет показателей эффективности, оценку экологического воздействия, прогноз достижения целевых показателей, а также выявление рисков и отклонений.</w:t>
      </w:r>
    </w:p>
    <w:p w14:paraId="6FCBEC8B" w14:textId="77777777" w:rsidR="00AE5E55" w:rsidRPr="00AE5E55" w:rsidRDefault="00AE5E55" w:rsidP="00E46C14">
      <w:pPr>
        <w:spacing w:before="120" w:after="0" w:line="360" w:lineRule="auto"/>
        <w:jc w:val="both"/>
        <w:rPr>
          <w:lang w:val="ru-RU"/>
        </w:rPr>
      </w:pPr>
      <w:r w:rsidRPr="00AE5E55">
        <w:rPr>
          <w:lang w:val="ru-RU"/>
        </w:rPr>
        <w:t>По итогам проверки составляется детализированный отчет, содержащий финансовые показатели использования средств, оценку соответствия проекта заявленным целям, выявленные нарушения и рекомендации, а также план корректирующих мероприятий. Отчет подлежит обязательному утверждению советом директоров эмитента и направляется в Банк России в течение десяти рабочих дней после завершения проверки. В случае выявления существенных нарушений (превышение пяти процентов от объема средств) предусмотрены санкции — от штрафов до приостановки обращения ценных бумаг.</w:t>
      </w:r>
    </w:p>
    <w:p w14:paraId="7D3E926B" w14:textId="77777777" w:rsidR="00AE5E55" w:rsidRPr="00AE5E55" w:rsidRDefault="00AE5E55" w:rsidP="00E46C14">
      <w:pPr>
        <w:spacing w:before="120" w:after="0" w:line="360" w:lineRule="auto"/>
        <w:jc w:val="both"/>
        <w:rPr>
          <w:lang w:val="ru-RU"/>
        </w:rPr>
      </w:pPr>
      <w:r w:rsidRPr="00AE5E55">
        <w:rPr>
          <w:lang w:val="ru-RU"/>
        </w:rPr>
        <w:t>Особенности проведения аудита варьируются в зависимости от типа эмитента. Для государственных компаний предусмотрено обязательное видеопротоколирование проверок, двойной контроль со стороны ВЭБ.РФ и публикация сокращенной версии отчета. Частные корпорации обязаны обеспечивать страхование профессиональной ответственности аудиторов, соблюдать усиленные процедуры контроля закупок и использовать блокчейн-верификацию операций. Региональные органы власти привлекают общественных наблюдателей, проводят публичные слушания и согласуют отчетность с Министерством финансов РФ.</w:t>
      </w:r>
    </w:p>
    <w:p w14:paraId="648411DF" w14:textId="77777777" w:rsidR="00AE5E55" w:rsidRPr="00AE5E55" w:rsidRDefault="00AE5E55" w:rsidP="00E46C14">
      <w:pPr>
        <w:spacing w:before="120" w:after="0" w:line="360" w:lineRule="auto"/>
        <w:jc w:val="both"/>
        <w:rPr>
          <w:lang w:val="ru-RU"/>
        </w:rPr>
      </w:pPr>
      <w:r w:rsidRPr="00AE5E55">
        <w:rPr>
          <w:lang w:val="ru-RU"/>
        </w:rPr>
        <w:t>С 2023 года функционирует единая цифровая платформа "Зеленый аудит", которая автоматизирует сбор и анализ данных, формирует электронные акты проверок, позволяет отслеживать выполнение рекомендаций и обеспечивает сквозную аналитику. Для проектов с иностранным участием предусмотрена дополнительная верификация, включая соответствие международным стандартам (</w:t>
      </w:r>
      <w:r w:rsidRPr="00AE5E55">
        <w:t>ICMA</w:t>
      </w:r>
      <w:r w:rsidRPr="00AE5E55">
        <w:rPr>
          <w:lang w:val="ru-RU"/>
        </w:rPr>
        <w:t xml:space="preserve">, </w:t>
      </w:r>
      <w:r w:rsidRPr="00AE5E55">
        <w:t>CBI</w:t>
      </w:r>
      <w:r w:rsidRPr="00AE5E55">
        <w:rPr>
          <w:lang w:val="ru-RU"/>
        </w:rPr>
        <w:t>), участие иностранных экспертов в проверках и параллельный аудит по нормам страны инвестора.</w:t>
      </w:r>
    </w:p>
    <w:p w14:paraId="01CB8950" w14:textId="5B20FAA8" w:rsidR="00C863BC" w:rsidRPr="00C863BC" w:rsidRDefault="00C863BC" w:rsidP="00E46C14">
      <w:pPr>
        <w:spacing w:before="120" w:after="0" w:line="360" w:lineRule="auto"/>
        <w:jc w:val="both"/>
        <w:rPr>
          <w:lang w:val="ru-RU"/>
        </w:rPr>
      </w:pPr>
      <w:r w:rsidRPr="00C863BC">
        <w:rPr>
          <w:b/>
          <w:bCs/>
          <w:lang w:val="ru-RU"/>
        </w:rPr>
        <w:t>В Казахстане</w:t>
      </w:r>
      <w:r w:rsidRPr="00C863BC">
        <w:rPr>
          <w:lang w:val="ru-RU"/>
        </w:rPr>
        <w:t xml:space="preserve"> механизм ежемесячных сверок по учету средств зеленых облигаций представляет собой детально проработанную многоуровневую систему контроля, обеспечивающую полную прозражность использования привлеченных средств. Данная процедура является обязательной для всех эмитентов зеленых облигаций, зарегистрированных на Казахстанской фондовой бирже (</w:t>
      </w:r>
      <w:r w:rsidRPr="00C863BC">
        <w:t>KASE</w:t>
      </w:r>
      <w:r w:rsidRPr="00C863BC">
        <w:rPr>
          <w:lang w:val="ru-RU"/>
        </w:rPr>
        <w:t>).</w:t>
      </w:r>
      <w:r>
        <w:rPr>
          <w:lang w:val="ru-RU"/>
        </w:rPr>
        <w:t xml:space="preserve"> </w:t>
      </w:r>
      <w:r w:rsidRPr="00C863BC">
        <w:rPr>
          <w:lang w:val="ru-RU"/>
        </w:rPr>
        <w:t>Процедура ежемесячных сверок осуществляется при обязательном участии представителей уполномоченных "зеленых" центров - специализированных организаций, аккредитованных при Министерстве экологии, геологии и природных ресурсов РК. В настоящее время в республике функционирует сеть из 12 таких центров, распределенных по регионам страны. Каждый центр имеет узкую специализацию (ВИЭ, энергоэффективность, устойчивая инфраструктура и т.д.) в соответствии с направлениями национальной таксономии зеленых проектов.</w:t>
      </w:r>
    </w:p>
    <w:p w14:paraId="751D3F51" w14:textId="77777777" w:rsidR="00C863BC" w:rsidRPr="00C863BC" w:rsidRDefault="00C863BC" w:rsidP="00E46C14">
      <w:pPr>
        <w:spacing w:before="120" w:after="0" w:line="360" w:lineRule="auto"/>
        <w:jc w:val="both"/>
        <w:rPr>
          <w:lang w:val="ru-RU"/>
        </w:rPr>
      </w:pPr>
      <w:r w:rsidRPr="00C863BC">
        <w:rPr>
          <w:lang w:val="ru-RU"/>
        </w:rPr>
        <w:t>Методика оценки основывается на комплексном анализе 35 параметров, сгруппированных в четыре ключевых блока: финансовый (12 показателей), технический (10 показателей), экологический (8 показателей) и социальный (5 показателей). Такой всесторонний подход позволяет оценить не только формальное соблюдение финансовой дисциплины, но и реальное воздействие проекта на окружающую среду и социальную сферу.</w:t>
      </w:r>
    </w:p>
    <w:p w14:paraId="3C569033" w14:textId="4628D349" w:rsidR="00C863BC" w:rsidRPr="00C863BC" w:rsidRDefault="00C863BC" w:rsidP="00E46C14">
      <w:pPr>
        <w:spacing w:before="120" w:after="0" w:line="360" w:lineRule="auto"/>
        <w:jc w:val="both"/>
        <w:rPr>
          <w:lang w:val="ru-RU"/>
        </w:rPr>
      </w:pPr>
      <w:r w:rsidRPr="00C863BC">
        <w:rPr>
          <w:lang w:val="ru-RU"/>
        </w:rPr>
        <w:t>Информационная система "Жасыл қаржы" играет центральную роль в процессе мониторинга, автоматически генерируя аналитические отчеты, формируя рейтинги эмитентов, выявляя потенциальные отклонения и риски. Ее важной функцией является обеспечение прозрачности информации для инвесторов и регуляторов.</w:t>
      </w:r>
      <w:r>
        <w:rPr>
          <w:lang w:val="ru-RU"/>
        </w:rPr>
        <w:t xml:space="preserve"> </w:t>
      </w:r>
      <w:r w:rsidRPr="00C863BC">
        <w:rPr>
          <w:lang w:val="ru-RU"/>
        </w:rPr>
        <w:t>В зависимости от результатов проверки предусмотрена дифференцированная система мер воздействия - от предупреждений при незначительных отклонениях до включения в "черный список" для систематических нарушителей.</w:t>
      </w:r>
      <w:r w:rsidRPr="00C863BC">
        <w:t> </w:t>
      </w:r>
    </w:p>
    <w:p w14:paraId="168A7B28" w14:textId="4BE35AC1" w:rsidR="003835A5" w:rsidRPr="003835A5" w:rsidRDefault="003835A5" w:rsidP="00E46C14">
      <w:pPr>
        <w:spacing w:before="120" w:after="0" w:line="360" w:lineRule="auto"/>
        <w:jc w:val="both"/>
        <w:rPr>
          <w:lang w:val="ru-RU"/>
        </w:rPr>
      </w:pPr>
      <w:r w:rsidRPr="00AE5E55">
        <w:rPr>
          <w:b/>
          <w:bCs/>
          <w:lang w:val="ru-RU"/>
        </w:rPr>
        <w:t>ЕАБР</w:t>
      </w:r>
      <w:r w:rsidRPr="003835A5">
        <w:rPr>
          <w:lang w:val="ru-RU"/>
        </w:rPr>
        <w:t xml:space="preserve"> внедрил уникальную систему контроля за соответствием фактических расходов утвержденным сметам, основанную на использовании технологий распределенного реестра (blockchain). Эта система разработана для обеспечения максимальной прозрачности и достоверности финансового мониторинга в рамках финансируемых проектов, в том числе в сфере устойчивой инфраструктуры и энергетики.</w:t>
      </w:r>
    </w:p>
    <w:p w14:paraId="6D5FC94A" w14:textId="77777777" w:rsidR="003835A5" w:rsidRPr="003835A5" w:rsidRDefault="003835A5" w:rsidP="00E46C14">
      <w:pPr>
        <w:spacing w:before="120" w:after="0" w:line="360" w:lineRule="auto"/>
        <w:jc w:val="both"/>
        <w:rPr>
          <w:lang w:val="ru-RU"/>
        </w:rPr>
      </w:pPr>
      <w:r w:rsidRPr="003835A5">
        <w:rPr>
          <w:lang w:val="ru-RU"/>
        </w:rPr>
        <w:t>Ключевые особенности и преимущества данной системы:</w:t>
      </w:r>
    </w:p>
    <w:p w14:paraId="0F8C42FE" w14:textId="77777777" w:rsidR="003835A5" w:rsidRDefault="003835A5" w:rsidP="00E46C14">
      <w:pPr>
        <w:pStyle w:val="a7"/>
        <w:numPr>
          <w:ilvl w:val="0"/>
          <w:numId w:val="12"/>
        </w:numPr>
        <w:spacing w:before="120" w:after="0" w:line="360" w:lineRule="auto"/>
        <w:jc w:val="both"/>
        <w:rPr>
          <w:lang w:val="ru-RU"/>
        </w:rPr>
      </w:pPr>
      <w:r w:rsidRPr="003835A5">
        <w:rPr>
          <w:lang w:val="ru-RU"/>
        </w:rPr>
        <w:t>Технология распределенного реестра (DLT). Все операции, связанные с расходованием средств, фиксируются в неизменяемом цифровом реестре, который распределен между участниками проекта. Это исключает возможность ретроспективного изменения данных и существенно снижает риски финансовых нарушений.</w:t>
      </w:r>
    </w:p>
    <w:p w14:paraId="7F2D0C67" w14:textId="77777777" w:rsidR="003835A5" w:rsidRDefault="003835A5" w:rsidP="00E46C14">
      <w:pPr>
        <w:pStyle w:val="a7"/>
        <w:numPr>
          <w:ilvl w:val="0"/>
          <w:numId w:val="12"/>
        </w:numPr>
        <w:spacing w:before="120" w:after="0" w:line="360" w:lineRule="auto"/>
        <w:jc w:val="both"/>
        <w:rPr>
          <w:lang w:val="ru-RU"/>
        </w:rPr>
      </w:pPr>
      <w:r w:rsidRPr="003835A5">
        <w:rPr>
          <w:lang w:val="ru-RU"/>
        </w:rPr>
        <w:t>Автоматическое сопоставление с утвержденной сметой. Интеллектуальные контракты (smart contracts), встроенные в систему, автоматически сверяют каждый платеж с параметрами утвержденной проектной документации и сметой. В случае отклонения от лимитов или направлений финансирования транзакция блокируется или помечается для дополнительной проверки.</w:t>
      </w:r>
    </w:p>
    <w:p w14:paraId="45906CBA" w14:textId="77777777" w:rsidR="003835A5" w:rsidRDefault="003835A5" w:rsidP="00E46C14">
      <w:pPr>
        <w:pStyle w:val="a7"/>
        <w:numPr>
          <w:ilvl w:val="0"/>
          <w:numId w:val="12"/>
        </w:numPr>
        <w:spacing w:before="120" w:after="0" w:line="360" w:lineRule="auto"/>
        <w:jc w:val="both"/>
        <w:rPr>
          <w:lang w:val="ru-RU"/>
        </w:rPr>
      </w:pPr>
      <w:r w:rsidRPr="003835A5">
        <w:rPr>
          <w:lang w:val="ru-RU"/>
        </w:rPr>
        <w:t>Ежедневный мониторинг и отчетность. Система обеспечивает непрерывный (в реальном времени) контроль за расходами. Все участники проекта, включая заказчика, подрядчиков и банк, имеют доступ к актуальной информации через защищенный интерфейс, что повышает оперативность принятия решений и способствует превентивному управлению рисками.</w:t>
      </w:r>
    </w:p>
    <w:p w14:paraId="79493173" w14:textId="77777777" w:rsidR="003835A5" w:rsidRDefault="003835A5" w:rsidP="00E46C14">
      <w:pPr>
        <w:pStyle w:val="a7"/>
        <w:numPr>
          <w:ilvl w:val="0"/>
          <w:numId w:val="12"/>
        </w:numPr>
        <w:spacing w:before="120" w:after="0" w:line="360" w:lineRule="auto"/>
        <w:jc w:val="both"/>
        <w:rPr>
          <w:lang w:val="ru-RU"/>
        </w:rPr>
      </w:pPr>
      <w:r w:rsidRPr="003835A5">
        <w:rPr>
          <w:lang w:val="ru-RU"/>
        </w:rPr>
        <w:t>Укрепление доверия и снижение издержек на аудит. Благодаря прозрачности и невозможности подделки записей, существенно снижается потребность в дорогостоящих проверках и аудитах, что делает систему не только надежной, но и экономически эффективной.</w:t>
      </w:r>
    </w:p>
    <w:p w14:paraId="33050D9D" w14:textId="31AE13E3" w:rsidR="003835A5" w:rsidRPr="003835A5" w:rsidRDefault="003835A5" w:rsidP="00E46C14">
      <w:pPr>
        <w:pStyle w:val="a7"/>
        <w:numPr>
          <w:ilvl w:val="0"/>
          <w:numId w:val="12"/>
        </w:numPr>
        <w:spacing w:before="120" w:after="0" w:line="360" w:lineRule="auto"/>
        <w:jc w:val="both"/>
        <w:rPr>
          <w:lang w:val="ru-RU"/>
        </w:rPr>
      </w:pPr>
      <w:r w:rsidRPr="003835A5">
        <w:rPr>
          <w:lang w:val="ru-RU"/>
        </w:rPr>
        <w:t>Применимость к широкому спектру проектов. Эта система используется в рамках реализации инфраструктурных проектов в странах-участницах ЕАБР, включая проекты в области водоснабжения, электроэнергетики, транспорта и экологической устойчивости.</w:t>
      </w:r>
    </w:p>
    <w:p w14:paraId="0FB249CE" w14:textId="1F2454B3" w:rsidR="000679E0" w:rsidRDefault="003835A5" w:rsidP="00E46C14">
      <w:pPr>
        <w:spacing w:before="120" w:after="0" w:line="360" w:lineRule="auto"/>
        <w:jc w:val="both"/>
        <w:rPr>
          <w:lang w:val="ru-RU"/>
        </w:rPr>
      </w:pPr>
      <w:r w:rsidRPr="003835A5">
        <w:rPr>
          <w:lang w:val="ru-RU"/>
        </w:rPr>
        <w:t>ЕАБР стал одним из первых международных финансовых институтов, внедривших на практике систему финансового контроля с применением блокчейн-технологий для ежедневного мониторинга целевого использования средств. Это решение может рассматриваться как лучший стандарт по обеспечению прозрачности при реализации проектов, финансируемых из международных и государственных источников.</w:t>
      </w:r>
    </w:p>
    <w:p w14:paraId="1F4EDAF9" w14:textId="77777777" w:rsidR="003835A5" w:rsidRPr="000679E0" w:rsidRDefault="003835A5" w:rsidP="00E46C14">
      <w:pPr>
        <w:spacing w:before="120" w:after="0" w:line="360" w:lineRule="auto"/>
        <w:jc w:val="both"/>
        <w:rPr>
          <w:lang w:val="ru-RU"/>
        </w:rPr>
      </w:pPr>
    </w:p>
    <w:p w14:paraId="53567B41" w14:textId="534DE66F" w:rsidR="00C863BC" w:rsidRPr="003F3804" w:rsidRDefault="00C863BC" w:rsidP="00E46C14">
      <w:pPr>
        <w:pStyle w:val="2"/>
        <w:spacing w:before="120" w:after="0" w:line="360" w:lineRule="auto"/>
        <w:jc w:val="both"/>
        <w:rPr>
          <w:sz w:val="24"/>
          <w:szCs w:val="24"/>
          <w:lang w:val="ru-RU"/>
        </w:rPr>
      </w:pPr>
      <w:bookmarkStart w:id="6" w:name="_Toc199749566"/>
      <w:r w:rsidRPr="003F3804">
        <w:rPr>
          <w:sz w:val="24"/>
          <w:szCs w:val="24"/>
          <w:lang w:val="ru-RU"/>
        </w:rPr>
        <w:t>3.</w:t>
      </w:r>
      <w:r>
        <w:rPr>
          <w:sz w:val="24"/>
          <w:szCs w:val="24"/>
          <w:lang w:val="ru-RU"/>
        </w:rPr>
        <w:t>2</w:t>
      </w:r>
      <w:r w:rsidRPr="003F3804">
        <w:rPr>
          <w:sz w:val="24"/>
          <w:szCs w:val="24"/>
          <w:lang w:val="ru-RU"/>
        </w:rPr>
        <w:t xml:space="preserve">. </w:t>
      </w:r>
      <w:r w:rsidRPr="00C863BC">
        <w:rPr>
          <w:sz w:val="24"/>
          <w:szCs w:val="24"/>
          <w:lang w:val="ru-RU"/>
        </w:rPr>
        <w:t>Внешняя отчетность</w:t>
      </w:r>
      <w:r w:rsidR="00E25D82">
        <w:rPr>
          <w:sz w:val="24"/>
          <w:szCs w:val="24"/>
          <w:lang w:val="ru-RU"/>
        </w:rPr>
        <w:t>, прозрачность и публичное раскрытие информации</w:t>
      </w:r>
      <w:bookmarkEnd w:id="6"/>
      <w:r w:rsidRPr="00C863BC">
        <w:rPr>
          <w:sz w:val="24"/>
          <w:szCs w:val="24"/>
          <w:lang w:val="ru-RU"/>
        </w:rPr>
        <w:t xml:space="preserve"> </w:t>
      </w:r>
    </w:p>
    <w:p w14:paraId="500D3DC2" w14:textId="2D1759A6" w:rsidR="00AE5E55" w:rsidRPr="00AE5E55" w:rsidRDefault="00AE5E55" w:rsidP="00E46C14">
      <w:pPr>
        <w:spacing w:before="120" w:after="0" w:line="360" w:lineRule="auto"/>
        <w:jc w:val="both"/>
        <w:rPr>
          <w:lang w:val="ru-RU"/>
        </w:rPr>
      </w:pPr>
      <w:r w:rsidRPr="00AE5E55">
        <w:rPr>
          <w:lang w:val="ru-RU"/>
        </w:rPr>
        <w:t xml:space="preserve">Внешняя отчетность по зеленым облигациям в России, Казахстане и в рамках проектов, финансируемых ЕАБР, представляет собой важный элемент системы обеспечения прозрачности, подотчетности и эффективности использования привлечённых средств. </w:t>
      </w:r>
      <w:r w:rsidRPr="00AE5E55">
        <w:rPr>
          <w:b/>
          <w:bCs/>
          <w:lang w:val="ru-RU"/>
        </w:rPr>
        <w:t>В Российской Федерации</w:t>
      </w:r>
      <w:r w:rsidRPr="00AE5E55">
        <w:rPr>
          <w:lang w:val="ru-RU"/>
        </w:rPr>
        <w:t xml:space="preserve"> ежегодные отчеты эмитентов, выпускающих зеленые облигации, составляются в соответствии с формой, утвержденной Банком России. Эти отчеты обязаны содержать подробную детализацию фактического использования привлечённых средств, описание достигнутых экологических результатов, анализ соответствия реализованных мероприятий заявленным в рамках проекта целям, а также планы по дальнейшему использованию неосвоенных средств. Особое внимание уделяется обязательному раскрытию информации о любых отклонениях от первоначального плана финансирования, графика реализации или ожидаемых эффектов.</w:t>
      </w:r>
    </w:p>
    <w:p w14:paraId="5E1B428D" w14:textId="77777777" w:rsidR="005A1E35" w:rsidRDefault="00AE5E55" w:rsidP="00E46C14">
      <w:pPr>
        <w:spacing w:before="120" w:after="0" w:line="360" w:lineRule="auto"/>
        <w:jc w:val="both"/>
        <w:rPr>
          <w:lang w:val="ru-RU"/>
        </w:rPr>
      </w:pPr>
      <w:r w:rsidRPr="00AE5E55">
        <w:rPr>
          <w:b/>
          <w:bCs/>
          <w:lang w:val="ru-RU"/>
        </w:rPr>
        <w:t>В Казахстане</w:t>
      </w:r>
      <w:r w:rsidRPr="00AE5E55">
        <w:rPr>
          <w:lang w:val="ru-RU"/>
        </w:rPr>
        <w:t xml:space="preserve"> к структуре годового отчета добавляется комплексный анализ вклада каждого проекта в достижение целей устойчивого развития (ЦУР), при этом годовой отчет подлежит обязательной верификации в Министерстве экологии и природных ресурсов Республики Казахстан. Это позволяет органам государственной власти оценивать не только экономическую и экологическую эффективность, но и стратегическую значимость проектов в контексте национальных и международных приоритетов. </w:t>
      </w:r>
    </w:p>
    <w:p w14:paraId="27072EB8" w14:textId="56B0F7B2" w:rsidR="00AE5E55" w:rsidRPr="00AE5E55" w:rsidRDefault="00AE5E55" w:rsidP="00E46C14">
      <w:pPr>
        <w:spacing w:before="120" w:after="0" w:line="360" w:lineRule="auto"/>
        <w:jc w:val="both"/>
        <w:rPr>
          <w:lang w:val="ru-RU"/>
        </w:rPr>
      </w:pPr>
      <w:r w:rsidRPr="00AE5E55">
        <w:rPr>
          <w:b/>
          <w:bCs/>
          <w:lang w:val="ru-RU"/>
        </w:rPr>
        <w:t>ЕАБР</w:t>
      </w:r>
      <w:r w:rsidRPr="00AE5E55">
        <w:rPr>
          <w:lang w:val="ru-RU"/>
        </w:rPr>
        <w:t xml:space="preserve"> требует подготовки внешней отчетности по международному стандарту </w:t>
      </w:r>
      <w:r w:rsidRPr="00AE5E55">
        <w:t>GRI</w:t>
      </w:r>
      <w:r w:rsidRPr="00AE5E55">
        <w:rPr>
          <w:lang w:val="ru-RU"/>
        </w:rPr>
        <w:t xml:space="preserve"> (</w:t>
      </w:r>
      <w:r w:rsidRPr="00AE5E55">
        <w:t>Global</w:t>
      </w:r>
      <w:r w:rsidRPr="00AE5E55">
        <w:rPr>
          <w:lang w:val="ru-RU"/>
        </w:rPr>
        <w:t xml:space="preserve"> </w:t>
      </w:r>
      <w:r w:rsidRPr="00AE5E55">
        <w:t>Reporting</w:t>
      </w:r>
      <w:r w:rsidRPr="00AE5E55">
        <w:rPr>
          <w:lang w:val="ru-RU"/>
        </w:rPr>
        <w:t xml:space="preserve"> </w:t>
      </w:r>
      <w:r w:rsidRPr="00AE5E55">
        <w:t>Initiative</w:t>
      </w:r>
      <w:r w:rsidRPr="00AE5E55">
        <w:rPr>
          <w:lang w:val="ru-RU"/>
        </w:rPr>
        <w:t>), что предполагает наличие расширенной аналитической части, включающей описание долгосрочного экологического и социального воздействия проекта, оценку устойчивости достигнутых результатов, а также потенциальные риски и уязвимости на горизонте десятилетий.</w:t>
      </w:r>
    </w:p>
    <w:p w14:paraId="59980A41" w14:textId="515B772E" w:rsidR="00AE5E55" w:rsidRPr="00AE5E55" w:rsidRDefault="00AE5E55" w:rsidP="00E46C14">
      <w:pPr>
        <w:spacing w:before="120" w:after="0" w:line="360" w:lineRule="auto"/>
        <w:jc w:val="both"/>
        <w:rPr>
          <w:lang w:val="ru-RU"/>
        </w:rPr>
      </w:pPr>
      <w:r w:rsidRPr="00AE5E55">
        <w:rPr>
          <w:lang w:val="ru-RU"/>
        </w:rPr>
        <w:t>Внешняя верификация в России осуществляется независимыми организациями, аккредитованными Министерством экономического развития РФ. Проверка проводится на основе методики, включающей как документальную экспертизу, так и выездные обследования объектов, финансируемых за счёт размещения зеленых облигаций. В Казахстане используется двухуровневая модель верификации: первая стадия — предварительная оценка устойчивости проекта на этапе подачи заявки, вторая — итоговая проверка после завершения реализации мероприятий. Такая модель повышает вероятность отбора проектов с высоким уровнем экологической обоснованности и эффективного мониторинга их последующей реализации. ЕАБР</w:t>
      </w:r>
      <w:r w:rsidR="005A1E35">
        <w:rPr>
          <w:lang w:val="ru-RU"/>
        </w:rPr>
        <w:t xml:space="preserve"> </w:t>
      </w:r>
      <w:r w:rsidRPr="00AE5E55">
        <w:rPr>
          <w:lang w:val="ru-RU"/>
        </w:rPr>
        <w:t xml:space="preserve">привлекает к верификации международные аудиторские и консалтинговые компании из утвержденного перечня, а сама методика оценки гармонизирована с практиками Европейского центрального банка и включает элементы </w:t>
      </w:r>
      <w:r w:rsidRPr="00AE5E55">
        <w:t>ESG</w:t>
      </w:r>
      <w:r w:rsidRPr="00AE5E55">
        <w:rPr>
          <w:lang w:val="ru-RU"/>
        </w:rPr>
        <w:t>-оценки, а также сопоставление с таксономией Европейского Союза.</w:t>
      </w:r>
    </w:p>
    <w:p w14:paraId="38CE4F68" w14:textId="328D6C77" w:rsidR="00AE5E55" w:rsidRPr="00AE5E55" w:rsidRDefault="00AE5E55" w:rsidP="00E46C14">
      <w:pPr>
        <w:spacing w:before="120" w:after="0" w:line="360" w:lineRule="auto"/>
        <w:jc w:val="both"/>
        <w:rPr>
          <w:lang w:val="ru-RU"/>
        </w:rPr>
      </w:pPr>
      <w:r w:rsidRPr="00AE5E55">
        <w:rPr>
          <w:lang w:val="ru-RU"/>
        </w:rPr>
        <w:t>Прозрачность и публичное раскрытие информации являются ключевыми принципами всех рассматриваемых систем. В России отчетность перед государственными органами включает обязательное представление сведений в Министерство экономического развития, Банк России и Федеральную службу по финансовому мониторингу. Формы отчетности предусматривают раскрытие более 50 показателей, охватывающих как финансовые аспекты исполнения бюджета проекта, так и показатели экологической эффективности, включая, например, объем предотвращённых выбросов СО₂-эквивалента. В Казахстане соответствующие отчеты направляются в Министерство финансов, Министерство экологии и в Национальный банк. При этом акцент делается на экологических индикаторах, включая снижение выбросов</w:t>
      </w:r>
      <w:r w:rsidR="00061D8C">
        <w:rPr>
          <w:lang w:val="ru-RU"/>
        </w:rPr>
        <w:t xml:space="preserve"> и</w:t>
      </w:r>
      <w:r w:rsidRPr="00AE5E55">
        <w:rPr>
          <w:lang w:val="ru-RU"/>
        </w:rPr>
        <w:t xml:space="preserve"> повышение энергоэффективности. В случае с ЕАБР применяется модель сквозной отчетности: информация об использовании средств и достижении экологических целей одновременно представляется всем заинтересованным сторонам — инвесторам, регуляторам, широкой общественности — посредством интегрированной цифровой платформы, обеспечивающей единый доступ и актуальность данных.</w:t>
      </w:r>
    </w:p>
    <w:p w14:paraId="5DC922EB" w14:textId="427FCB8C" w:rsidR="00AE5E55" w:rsidRPr="00AE5E55" w:rsidRDefault="00AE5E55" w:rsidP="00E46C14">
      <w:pPr>
        <w:spacing w:before="120" w:after="0" w:line="360" w:lineRule="auto"/>
        <w:jc w:val="both"/>
        <w:rPr>
          <w:lang w:val="ru-RU"/>
        </w:rPr>
      </w:pPr>
      <w:r w:rsidRPr="00AE5E55">
        <w:rPr>
          <w:lang w:val="ru-RU"/>
        </w:rPr>
        <w:t xml:space="preserve">Что касается публичного информирования, российские эмитенты обязаны публиковать полугодовые обновления об использовании средств на своих официальных сайтах, а также на портале Центрального депозитария. В Казахстане действует </w:t>
      </w:r>
      <w:r w:rsidR="00061D8C">
        <w:rPr>
          <w:lang w:val="ru-RU"/>
        </w:rPr>
        <w:t>иная</w:t>
      </w:r>
      <w:r w:rsidRPr="00AE5E55">
        <w:rPr>
          <w:lang w:val="ru-RU"/>
        </w:rPr>
        <w:t xml:space="preserve"> модель: информация обновляется ежеквартально в специализированном разделе на сайте Казахстанской фондовой биржи (</w:t>
      </w:r>
      <w:r w:rsidRPr="00AE5E55">
        <w:t>KASE</w:t>
      </w:r>
      <w:r w:rsidRPr="00AE5E55">
        <w:rPr>
          <w:lang w:val="ru-RU"/>
        </w:rPr>
        <w:t xml:space="preserve">), при этом публикуется детализация по каждому отдельному проекту. </w:t>
      </w:r>
      <w:r w:rsidR="00061D8C">
        <w:rPr>
          <w:lang w:val="ru-RU"/>
        </w:rPr>
        <w:t xml:space="preserve">В </w:t>
      </w:r>
      <w:r w:rsidRPr="00AE5E55">
        <w:rPr>
          <w:lang w:val="ru-RU"/>
        </w:rPr>
        <w:t>ЕАБР данные о проекте отображаются через интерактивную панель мониторинга, обновляемую в реальном времени, что позволяет инвесторам и широкой аудитории отслеживать статус финансирования и прогресс по экологическим метрикам в динамике.</w:t>
      </w:r>
    </w:p>
    <w:p w14:paraId="084D7EEC" w14:textId="1D13F275" w:rsidR="00AE5E55" w:rsidRPr="00AE5E55" w:rsidRDefault="00061D8C" w:rsidP="00E46C14">
      <w:pPr>
        <w:spacing w:before="120" w:after="0" w:line="360" w:lineRule="auto"/>
        <w:jc w:val="both"/>
        <w:rPr>
          <w:lang w:val="ru-RU"/>
        </w:rPr>
      </w:pPr>
      <w:r>
        <w:rPr>
          <w:lang w:val="ru-RU"/>
        </w:rPr>
        <w:t>С</w:t>
      </w:r>
      <w:r w:rsidR="00AE5E55" w:rsidRPr="00AE5E55">
        <w:rPr>
          <w:lang w:val="ru-RU"/>
        </w:rPr>
        <w:t>равнительный анализ подходов к внешней отчетности и верификации демонстрирует, что российская модель акцентирует внимание на регуляторном контроле и строгом соблюдении нормативов, казахстанская система делает ставку на прозрачность и соответствие ЦУР, тогда как практика ЕАБР ориентирована на интеграцию международных стандартов и цифровую трансформацию отчетности. Все три модели дополняют друг друга и развиваются с учётом обмена опытом и лучших международных практик.</w:t>
      </w:r>
    </w:p>
    <w:p w14:paraId="2DAC3780" w14:textId="77777777" w:rsidR="000679E0" w:rsidRDefault="000679E0" w:rsidP="00E46C14">
      <w:pPr>
        <w:spacing w:before="120" w:after="0" w:line="360" w:lineRule="auto"/>
        <w:jc w:val="both"/>
        <w:rPr>
          <w:lang w:val="ru-RU"/>
        </w:rPr>
      </w:pPr>
    </w:p>
    <w:p w14:paraId="0084E4F5" w14:textId="3EFEB247" w:rsidR="00015F3D" w:rsidRDefault="00015F3D" w:rsidP="00E46C14">
      <w:pPr>
        <w:pStyle w:val="1"/>
        <w:spacing w:before="120" w:after="0" w:line="360" w:lineRule="auto"/>
        <w:jc w:val="both"/>
        <w:rPr>
          <w:sz w:val="28"/>
          <w:szCs w:val="28"/>
          <w:lang w:val="ru-RU"/>
        </w:rPr>
      </w:pPr>
      <w:bookmarkStart w:id="7" w:name="_Toc199749567"/>
      <w:r>
        <w:rPr>
          <w:sz w:val="28"/>
          <w:szCs w:val="28"/>
          <w:lang w:val="ru-RU"/>
        </w:rPr>
        <w:t xml:space="preserve">4. </w:t>
      </w:r>
      <w:r w:rsidRPr="00015F3D">
        <w:rPr>
          <w:sz w:val="28"/>
          <w:szCs w:val="28"/>
          <w:lang w:val="ru-RU"/>
        </w:rPr>
        <w:t>Погашение облигационного займа</w:t>
      </w:r>
      <w:bookmarkEnd w:id="7"/>
    </w:p>
    <w:p w14:paraId="3635F1D4" w14:textId="77777777" w:rsidR="00547C7B" w:rsidRPr="003F3804" w:rsidRDefault="00547C7B" w:rsidP="00E46C14">
      <w:pPr>
        <w:pStyle w:val="2"/>
        <w:spacing w:before="120" w:after="0" w:line="360" w:lineRule="auto"/>
        <w:jc w:val="both"/>
        <w:rPr>
          <w:sz w:val="24"/>
          <w:szCs w:val="24"/>
          <w:lang w:val="ru-RU"/>
        </w:rPr>
      </w:pPr>
      <w:bookmarkStart w:id="8" w:name="_Toc199749568"/>
      <w:r>
        <w:rPr>
          <w:sz w:val="24"/>
          <w:szCs w:val="24"/>
          <w:lang w:val="ru-RU"/>
        </w:rPr>
        <w:t>4</w:t>
      </w:r>
      <w:r w:rsidRPr="003F3804">
        <w:rPr>
          <w:sz w:val="24"/>
          <w:szCs w:val="24"/>
          <w:lang w:val="ru-RU"/>
        </w:rPr>
        <w:t xml:space="preserve">.1. </w:t>
      </w:r>
      <w:r w:rsidRPr="00547C7B">
        <w:rPr>
          <w:sz w:val="24"/>
          <w:szCs w:val="24"/>
          <w:lang w:val="ru-RU"/>
        </w:rPr>
        <w:t>Организация механизмов погашения</w:t>
      </w:r>
      <w:bookmarkEnd w:id="8"/>
    </w:p>
    <w:p w14:paraId="425D8EC5" w14:textId="53077FF9" w:rsidR="00547C7B" w:rsidRPr="00015F3D" w:rsidRDefault="00547C7B" w:rsidP="00E46C14">
      <w:pPr>
        <w:spacing w:before="120" w:after="0" w:line="360" w:lineRule="auto"/>
        <w:jc w:val="both"/>
        <w:rPr>
          <w:lang w:val="ru-RU"/>
        </w:rPr>
      </w:pPr>
      <w:r w:rsidRPr="00015F3D">
        <w:rPr>
          <w:lang w:val="ru-RU"/>
        </w:rPr>
        <w:t>Погашение облигационного займа по «зелёным» облигациям представляет собой важнейший этап финансового цикла проекта и должно осуществляться в соответствии с национальными нормативами и международными стандартами. В каждом случае применяются особые механизмы, направленные на обеспечение финансовой устойчивости, прозрачности и соблюдение обязательств перед инвесторами.</w:t>
      </w:r>
    </w:p>
    <w:p w14:paraId="3E0C5F30" w14:textId="410551D6" w:rsidR="00015F3D" w:rsidRPr="00015F3D" w:rsidRDefault="00015F3D" w:rsidP="00E46C14">
      <w:pPr>
        <w:spacing w:before="120" w:after="0" w:line="360" w:lineRule="auto"/>
        <w:jc w:val="both"/>
        <w:rPr>
          <w:lang w:val="ru-RU"/>
        </w:rPr>
      </w:pPr>
      <w:r w:rsidRPr="00547C7B">
        <w:rPr>
          <w:b/>
          <w:bCs/>
          <w:lang w:val="ru-RU"/>
        </w:rPr>
        <w:t>В Российской Федерации</w:t>
      </w:r>
      <w:r w:rsidRPr="00015F3D">
        <w:rPr>
          <w:lang w:val="ru-RU"/>
        </w:rPr>
        <w:t xml:space="preserve"> механизм погашения «зеленых» облигаций регулируется стандартами Банка России, в частности Положением № 706-П и рекомендациями, основанными на принципах ICMA. Эмитент может использовать как </w:t>
      </w:r>
      <w:r w:rsidR="00547C7B">
        <w:rPr>
          <w:lang w:val="ru-RU"/>
        </w:rPr>
        <w:t>«</w:t>
      </w:r>
      <w:r w:rsidRPr="00015F3D">
        <w:rPr>
          <w:lang w:val="ru-RU"/>
        </w:rPr>
        <w:t>фонды погашения</w:t>
      </w:r>
      <w:r w:rsidR="00547C7B">
        <w:rPr>
          <w:lang w:val="ru-RU"/>
        </w:rPr>
        <w:t>»</w:t>
      </w:r>
      <w:r w:rsidRPr="00015F3D">
        <w:rPr>
          <w:lang w:val="ru-RU"/>
        </w:rPr>
        <w:t xml:space="preserve"> (sinking funds) — специально создаваемые резервные счета, на которые регулярно направляется часть поступлений для накопления суммы, необходимой для погашения — так и </w:t>
      </w:r>
      <w:r w:rsidR="00547C7B">
        <w:rPr>
          <w:lang w:val="ru-RU"/>
        </w:rPr>
        <w:t>«</w:t>
      </w:r>
      <w:r w:rsidRPr="00015F3D">
        <w:rPr>
          <w:lang w:val="ru-RU"/>
        </w:rPr>
        <w:t>единовременные выплаты</w:t>
      </w:r>
      <w:r w:rsidR="00547C7B">
        <w:rPr>
          <w:lang w:val="ru-RU"/>
        </w:rPr>
        <w:t>»</w:t>
      </w:r>
      <w:r w:rsidRPr="00015F3D">
        <w:rPr>
          <w:lang w:val="ru-RU"/>
        </w:rPr>
        <w:t xml:space="preserve"> (bullet repayment) по завершении срока обращения облигаций. Государственные и муниципальные эмитенты, как правило, применяют фонд накопления, тогда как корпоративные — чаще практикуют единовременное погашение.</w:t>
      </w:r>
    </w:p>
    <w:p w14:paraId="264566AF" w14:textId="0BF1A7A4" w:rsidR="00015F3D" w:rsidRPr="00015F3D" w:rsidRDefault="00015F3D" w:rsidP="00E46C14">
      <w:pPr>
        <w:spacing w:before="120" w:after="0" w:line="360" w:lineRule="auto"/>
        <w:jc w:val="both"/>
        <w:rPr>
          <w:lang w:val="ru-RU"/>
        </w:rPr>
      </w:pPr>
      <w:r w:rsidRPr="00547C7B">
        <w:rPr>
          <w:b/>
          <w:bCs/>
          <w:lang w:val="ru-RU"/>
        </w:rPr>
        <w:t>В Казахстане</w:t>
      </w:r>
      <w:r w:rsidRPr="00015F3D">
        <w:rPr>
          <w:lang w:val="ru-RU"/>
        </w:rPr>
        <w:t xml:space="preserve"> требования к механизмам погашения «зеленых» облигаций зафиксированы в документах АО «Казахстанская фондовая биржа», а также регулируются рекомендациями Агентства по регулированию и развитию финансового рынка и Министерства финансов. Здесь также возможны оба варианта погашения, однако значительное внимание уделяется гибкости рефинансирования, особенно в случае долгосрочных инфраструктурных проектов, где средства могут быть частично направлены на повторный выпуск облигаций (roll-over) с соблюдением экологической направленности.</w:t>
      </w:r>
    </w:p>
    <w:p w14:paraId="2242F25D" w14:textId="68BA1312" w:rsidR="00015F3D" w:rsidRPr="00015F3D" w:rsidRDefault="00015F3D" w:rsidP="00E46C14">
      <w:pPr>
        <w:spacing w:before="120" w:after="0" w:line="360" w:lineRule="auto"/>
        <w:jc w:val="both"/>
        <w:rPr>
          <w:lang w:val="ru-RU"/>
        </w:rPr>
      </w:pPr>
      <w:r w:rsidRPr="00547C7B">
        <w:rPr>
          <w:b/>
          <w:bCs/>
          <w:lang w:val="ru-RU"/>
        </w:rPr>
        <w:t>ЕАБР</w:t>
      </w:r>
      <w:r w:rsidRPr="00015F3D">
        <w:rPr>
          <w:lang w:val="ru-RU"/>
        </w:rPr>
        <w:t>, финансируя проекты через выпуск «зеленых» облигаций, придерживается практики создания механизмов поэтапного погашения с ежегодным резервированием средств, при этом допускается использование гибридных механизмов, сочетающих элементы фонда погашения и возможное рефинансирование через международные рынки капитала. Условия фиксируются в инвестиционных соглашениях и контролируются через цифровую платформу мониторинга.</w:t>
      </w:r>
    </w:p>
    <w:p w14:paraId="49EDCC7A" w14:textId="7332C7C5" w:rsidR="00015F3D" w:rsidRPr="00547C7B" w:rsidRDefault="00547C7B" w:rsidP="00E46C14">
      <w:pPr>
        <w:pStyle w:val="2"/>
        <w:spacing w:before="120" w:after="0" w:line="360" w:lineRule="auto"/>
        <w:jc w:val="both"/>
        <w:rPr>
          <w:sz w:val="24"/>
          <w:szCs w:val="24"/>
          <w:lang w:val="ru-RU"/>
        </w:rPr>
      </w:pPr>
      <w:bookmarkStart w:id="9" w:name="_Toc199749569"/>
      <w:r>
        <w:rPr>
          <w:sz w:val="24"/>
          <w:szCs w:val="24"/>
          <w:lang w:val="ru-RU"/>
        </w:rPr>
        <w:t>4</w:t>
      </w:r>
      <w:r w:rsidRPr="003F3804">
        <w:rPr>
          <w:sz w:val="24"/>
          <w:szCs w:val="24"/>
          <w:lang w:val="ru-RU"/>
        </w:rPr>
        <w:t>.</w:t>
      </w:r>
      <w:r>
        <w:rPr>
          <w:sz w:val="24"/>
          <w:szCs w:val="24"/>
          <w:lang w:val="ru-RU"/>
        </w:rPr>
        <w:t>2</w:t>
      </w:r>
      <w:r w:rsidRPr="003F3804">
        <w:rPr>
          <w:sz w:val="24"/>
          <w:szCs w:val="24"/>
          <w:lang w:val="ru-RU"/>
        </w:rPr>
        <w:t xml:space="preserve">. </w:t>
      </w:r>
      <w:r w:rsidRPr="00547C7B">
        <w:rPr>
          <w:sz w:val="24"/>
          <w:szCs w:val="24"/>
          <w:lang w:val="ru-RU"/>
        </w:rPr>
        <w:t xml:space="preserve">Организация </w:t>
      </w:r>
      <w:r w:rsidR="00015F3D" w:rsidRPr="00547C7B">
        <w:rPr>
          <w:sz w:val="24"/>
          <w:szCs w:val="24"/>
          <w:lang w:val="ru-RU"/>
        </w:rPr>
        <w:t>ликвидности для погашения</w:t>
      </w:r>
      <w:bookmarkEnd w:id="9"/>
    </w:p>
    <w:p w14:paraId="632A034A" w14:textId="0B3F7D1F" w:rsidR="00015F3D" w:rsidRPr="00015F3D" w:rsidRDefault="00015F3D" w:rsidP="00E46C14">
      <w:pPr>
        <w:spacing w:before="120" w:after="0" w:line="360" w:lineRule="auto"/>
        <w:jc w:val="both"/>
        <w:rPr>
          <w:lang w:val="ru-RU"/>
        </w:rPr>
      </w:pPr>
      <w:r w:rsidRPr="00015F3D">
        <w:rPr>
          <w:lang w:val="ru-RU"/>
        </w:rPr>
        <w:t xml:space="preserve">Обеспечение своевременного исполнения обязательств по погашению требует </w:t>
      </w:r>
      <w:r w:rsidR="00547C7B">
        <w:rPr>
          <w:lang w:val="ru-RU"/>
        </w:rPr>
        <w:t>четко проработанной</w:t>
      </w:r>
      <w:r w:rsidRPr="00015F3D">
        <w:rPr>
          <w:lang w:val="ru-RU"/>
        </w:rPr>
        <w:t xml:space="preserve"> системы </w:t>
      </w:r>
      <w:r w:rsidR="00547C7B">
        <w:rPr>
          <w:lang w:val="ru-RU"/>
        </w:rPr>
        <w:t xml:space="preserve">обеспечения </w:t>
      </w:r>
      <w:r w:rsidRPr="00015F3D">
        <w:rPr>
          <w:lang w:val="ru-RU"/>
        </w:rPr>
        <w:t xml:space="preserve">ликвидности. В </w:t>
      </w:r>
      <w:r w:rsidRPr="00547C7B">
        <w:rPr>
          <w:b/>
          <w:bCs/>
          <w:lang w:val="ru-RU"/>
        </w:rPr>
        <w:t>России</w:t>
      </w:r>
      <w:r w:rsidRPr="00015F3D">
        <w:rPr>
          <w:lang w:val="ru-RU"/>
        </w:rPr>
        <w:t xml:space="preserve"> источниками возврата инвестиций могут выступать экономия на эксплуатационных расходах (например, снижение затрат на энергию или</w:t>
      </w:r>
      <w:r w:rsidR="00547C7B">
        <w:rPr>
          <w:lang w:val="ru-RU"/>
        </w:rPr>
        <w:t xml:space="preserve"> другие ресурсы</w:t>
      </w:r>
      <w:r w:rsidRPr="00015F3D">
        <w:rPr>
          <w:lang w:val="ru-RU"/>
        </w:rPr>
        <w:t xml:space="preserve">), так и поступления от реализации продукции или услуг </w:t>
      </w:r>
      <w:r w:rsidR="00547C7B">
        <w:rPr>
          <w:lang w:val="ru-RU"/>
        </w:rPr>
        <w:t xml:space="preserve">в рамках </w:t>
      </w:r>
      <w:r w:rsidRPr="00015F3D">
        <w:rPr>
          <w:lang w:val="ru-RU"/>
        </w:rPr>
        <w:t>проекта. Для инфраструктурных проектов с длительным периодом окупаемости возможно субсидирование со стороны государства или участие институтов развития. Кроме того, нормативные акты требуют наличия антикризисных сценариев, включающих корректировки графика платежей или резервные источники средств.</w:t>
      </w:r>
    </w:p>
    <w:p w14:paraId="20FB2FDC" w14:textId="7ADB293A" w:rsidR="00015F3D" w:rsidRPr="00015F3D" w:rsidRDefault="00015F3D" w:rsidP="00E46C14">
      <w:pPr>
        <w:spacing w:before="120" w:after="0" w:line="360" w:lineRule="auto"/>
        <w:jc w:val="both"/>
        <w:rPr>
          <w:lang w:val="ru-RU"/>
        </w:rPr>
      </w:pPr>
      <w:r w:rsidRPr="00015F3D">
        <w:rPr>
          <w:lang w:val="ru-RU"/>
        </w:rPr>
        <w:t xml:space="preserve">В </w:t>
      </w:r>
      <w:r w:rsidRPr="00547C7B">
        <w:rPr>
          <w:b/>
          <w:bCs/>
          <w:lang w:val="ru-RU"/>
        </w:rPr>
        <w:t>Казахстане</w:t>
      </w:r>
      <w:r w:rsidRPr="00015F3D">
        <w:rPr>
          <w:lang w:val="ru-RU"/>
        </w:rPr>
        <w:t xml:space="preserve"> устойчивость погашения обеспечивается за счёт предварительного финансового моделирования на стадии разработки проекта, где обязательно закладываются реалистичные источники возврата средств. В качестве дополнительных гарантий могут использоваться государственные гарантии, а также размещение части доходов на отдельных счетах в национальных банках. Законодательно закреплены требования к наличию финансовых буферов на случай изменения рыночных условий или ухудшения эколого-экономических показателей.</w:t>
      </w:r>
    </w:p>
    <w:p w14:paraId="2C5605D4" w14:textId="2B5CAF5A" w:rsidR="00015F3D" w:rsidRPr="00015F3D" w:rsidRDefault="00015F3D" w:rsidP="00E46C14">
      <w:pPr>
        <w:spacing w:before="120" w:after="0" w:line="360" w:lineRule="auto"/>
        <w:jc w:val="both"/>
        <w:rPr>
          <w:lang w:val="ru-RU"/>
        </w:rPr>
      </w:pPr>
      <w:r w:rsidRPr="00015F3D">
        <w:rPr>
          <w:lang w:val="ru-RU"/>
        </w:rPr>
        <w:t xml:space="preserve">В практике </w:t>
      </w:r>
      <w:r w:rsidRPr="00547C7B">
        <w:rPr>
          <w:lang w:val="ru-RU"/>
        </w:rPr>
        <w:t>ЕАБР</w:t>
      </w:r>
      <w:r w:rsidRPr="00015F3D">
        <w:rPr>
          <w:lang w:val="ru-RU"/>
        </w:rPr>
        <w:t xml:space="preserve"> управление ликвидностью осуществляется с использованием интегрированной финансовой модели проекта, включающей стресс-тестирование и резервирование средств на случай снижения доходности. Особое внимание уделяется долгосрочной устойчивости и диверсификации источников погашения, включая поступления от связанных бизнес-операций, продажу углеродных единиц или экономию от внедрения энергоэффективных решений.</w:t>
      </w:r>
    </w:p>
    <w:p w14:paraId="2406CDC5" w14:textId="736501FF" w:rsidR="00015F3D" w:rsidRPr="00547C7B" w:rsidRDefault="00547C7B" w:rsidP="00E46C14">
      <w:pPr>
        <w:pStyle w:val="2"/>
        <w:spacing w:before="120" w:after="0" w:line="360" w:lineRule="auto"/>
        <w:jc w:val="both"/>
        <w:rPr>
          <w:sz w:val="24"/>
          <w:szCs w:val="24"/>
          <w:lang w:val="ru-RU"/>
        </w:rPr>
      </w:pPr>
      <w:bookmarkStart w:id="10" w:name="_Toc199749570"/>
      <w:r>
        <w:rPr>
          <w:sz w:val="24"/>
          <w:szCs w:val="24"/>
          <w:lang w:val="ru-RU"/>
        </w:rPr>
        <w:t>4.3</w:t>
      </w:r>
      <w:r w:rsidR="00015F3D" w:rsidRPr="00547C7B">
        <w:rPr>
          <w:sz w:val="24"/>
          <w:szCs w:val="24"/>
          <w:lang w:val="ru-RU"/>
        </w:rPr>
        <w:t>. Юридические обязательства и коммуникация с инвесторами</w:t>
      </w:r>
      <w:bookmarkEnd w:id="10"/>
    </w:p>
    <w:p w14:paraId="02A47DFA" w14:textId="66CDDA2C" w:rsidR="00015F3D" w:rsidRPr="00015F3D" w:rsidRDefault="00547C7B" w:rsidP="00E46C14">
      <w:pPr>
        <w:spacing w:before="120" w:after="0" w:line="360" w:lineRule="auto"/>
        <w:jc w:val="both"/>
        <w:rPr>
          <w:lang w:val="ru-RU"/>
        </w:rPr>
      </w:pPr>
      <w:r>
        <w:rPr>
          <w:lang w:val="ru-RU"/>
        </w:rPr>
        <w:t>Ю</w:t>
      </w:r>
      <w:r w:rsidR="00015F3D" w:rsidRPr="00015F3D">
        <w:rPr>
          <w:lang w:val="ru-RU"/>
        </w:rPr>
        <w:t xml:space="preserve">ридическое оформление обязательств по погашению зеленых облигаций в </w:t>
      </w:r>
      <w:r w:rsidR="00015F3D" w:rsidRPr="00547C7B">
        <w:rPr>
          <w:b/>
          <w:bCs/>
          <w:lang w:val="ru-RU"/>
        </w:rPr>
        <w:t>России</w:t>
      </w:r>
      <w:r w:rsidR="00015F3D" w:rsidRPr="00015F3D">
        <w:rPr>
          <w:lang w:val="ru-RU"/>
        </w:rPr>
        <w:t xml:space="preserve"> базируется на Федеральном законе № 39-ФЗ «О рынке ценных бумаг» и включает обязательное раскрытие условий в эмиссионной документации. При изменении условий или риске дефолта эмитент обязан оперативно информировать инвесторов через официальный сайт, портал раскрытия информации и Центробанк. Также предусмотрено обязательное проведение собраний держателей облигаций в случае значимых изменений параметров займа.</w:t>
      </w:r>
    </w:p>
    <w:p w14:paraId="36F0C5C8" w14:textId="6A57568A" w:rsidR="00015F3D" w:rsidRPr="00015F3D" w:rsidRDefault="00015F3D" w:rsidP="00E46C14">
      <w:pPr>
        <w:spacing w:before="120" w:after="0" w:line="360" w:lineRule="auto"/>
        <w:jc w:val="both"/>
        <w:rPr>
          <w:lang w:val="ru-RU"/>
        </w:rPr>
      </w:pPr>
      <w:r w:rsidRPr="00015F3D">
        <w:rPr>
          <w:lang w:val="ru-RU"/>
        </w:rPr>
        <w:t xml:space="preserve">В </w:t>
      </w:r>
      <w:r w:rsidRPr="00547C7B">
        <w:rPr>
          <w:b/>
          <w:bCs/>
          <w:lang w:val="ru-RU"/>
        </w:rPr>
        <w:t>Казахстане</w:t>
      </w:r>
      <w:r w:rsidRPr="00015F3D">
        <w:rPr>
          <w:lang w:val="ru-RU"/>
        </w:rPr>
        <w:t xml:space="preserve"> юридические обязательства определяются законом «О рынке ценных бумаг», нормативами Агентства РК по регулированию и развитию финансового рынка и правилами KASE. Коммуникация с инвесторами осуществляется через специализированные информационные ресурсы, а в случае изменения условий — через публикации на официальных сайтах и в СМИ. Эмитенты обязаны представлять прогнозные данные</w:t>
      </w:r>
      <w:r w:rsidR="00547C7B">
        <w:rPr>
          <w:lang w:val="ru-RU"/>
        </w:rPr>
        <w:t xml:space="preserve"> </w:t>
      </w:r>
      <w:r w:rsidRPr="00015F3D">
        <w:rPr>
          <w:lang w:val="ru-RU"/>
        </w:rPr>
        <w:t>по графику погашения, а также описывать риски и механизмы управления ими.</w:t>
      </w:r>
    </w:p>
    <w:p w14:paraId="33C05789" w14:textId="39A3A6C3" w:rsidR="00015F3D" w:rsidRPr="00015F3D" w:rsidRDefault="00015F3D" w:rsidP="00E46C14">
      <w:pPr>
        <w:spacing w:before="120" w:after="0" w:line="360" w:lineRule="auto"/>
        <w:jc w:val="both"/>
        <w:rPr>
          <w:lang w:val="ru-RU"/>
        </w:rPr>
      </w:pPr>
      <w:r w:rsidRPr="00547C7B">
        <w:rPr>
          <w:b/>
          <w:bCs/>
          <w:lang w:val="ru-RU"/>
        </w:rPr>
        <w:t>ЕАБР</w:t>
      </w:r>
      <w:r w:rsidRPr="00015F3D">
        <w:rPr>
          <w:lang w:val="ru-RU"/>
        </w:rPr>
        <w:t xml:space="preserve"> устанавливает обязательные договорные положения о праве инвесторов на получение информации о финансовом состоянии проекта, графике погашения и отклонениях от плана. Коммуникация осуществляется через единую цифровую платформу, где доступ к информации предоставляется в реальном времени. В случае реструктуризации долга или рефинансирования банк организует консультации с держателями облигаций и обеспечивает юридическую поддержку исполнения обязательств.</w:t>
      </w:r>
    </w:p>
    <w:p w14:paraId="525E2381" w14:textId="389846B5" w:rsidR="00015F3D" w:rsidRDefault="00547C7B" w:rsidP="00E46C14">
      <w:pPr>
        <w:spacing w:before="120" w:after="0" w:line="360" w:lineRule="auto"/>
        <w:jc w:val="both"/>
        <w:rPr>
          <w:lang w:val="ru-RU"/>
        </w:rPr>
      </w:pPr>
      <w:r>
        <w:rPr>
          <w:lang w:val="ru-RU"/>
        </w:rPr>
        <w:t>П</w:t>
      </w:r>
      <w:r w:rsidR="00015F3D" w:rsidRPr="00015F3D">
        <w:rPr>
          <w:lang w:val="ru-RU"/>
        </w:rPr>
        <w:t xml:space="preserve">рактика погашения облигационных займов по «зеленым» облигациям в России, Казахстане и ЕАБР формирует комплексный подход, сочетающий финансовую дисциплину, правовую определенность, использование резервных механизмов и постоянную коммуникацию с инвесторами. </w:t>
      </w:r>
    </w:p>
    <w:p w14:paraId="7A1603D5" w14:textId="77777777" w:rsidR="00547C7B" w:rsidRDefault="00547C7B" w:rsidP="00E46C14">
      <w:pPr>
        <w:spacing w:before="120" w:after="0" w:line="360" w:lineRule="auto"/>
        <w:jc w:val="both"/>
        <w:rPr>
          <w:lang w:val="ru-RU"/>
        </w:rPr>
      </w:pPr>
    </w:p>
    <w:p w14:paraId="5B826A7A" w14:textId="1C9BB680" w:rsidR="00E8012B" w:rsidRDefault="00E8012B" w:rsidP="00E46C14">
      <w:pPr>
        <w:pStyle w:val="1"/>
        <w:spacing w:before="120" w:after="0" w:line="360" w:lineRule="auto"/>
        <w:jc w:val="both"/>
        <w:rPr>
          <w:sz w:val="28"/>
          <w:szCs w:val="28"/>
          <w:lang w:val="ru-RU"/>
        </w:rPr>
      </w:pPr>
      <w:bookmarkStart w:id="11" w:name="_Toc199749571"/>
      <w:r>
        <w:rPr>
          <w:sz w:val="28"/>
          <w:szCs w:val="28"/>
          <w:lang w:val="ru-RU"/>
        </w:rPr>
        <w:t xml:space="preserve">5. </w:t>
      </w:r>
      <w:r w:rsidRPr="00E8012B">
        <w:rPr>
          <w:sz w:val="28"/>
          <w:szCs w:val="28"/>
          <w:lang w:val="ru-RU"/>
        </w:rPr>
        <w:t>Мониторинг и соблюдение требований</w:t>
      </w:r>
      <w:bookmarkEnd w:id="11"/>
    </w:p>
    <w:p w14:paraId="431E5BC9" w14:textId="2B9D386C" w:rsidR="00E8012B" w:rsidRPr="00E8012B" w:rsidRDefault="00E8012B" w:rsidP="00E46C14">
      <w:pPr>
        <w:spacing w:before="120" w:after="0" w:line="360" w:lineRule="auto"/>
        <w:jc w:val="both"/>
        <w:rPr>
          <w:lang w:val="ru-RU"/>
        </w:rPr>
      </w:pPr>
      <w:r w:rsidRPr="00E8012B">
        <w:rPr>
          <w:lang w:val="ru-RU"/>
        </w:rPr>
        <w:t>Мониторинг и соблюдение требований в рамках реализации проектов, финансируемых за счёт средств зелёных облигаций, представляют собой многоуровневую систему контроля, охватывающую как внутренние, так и внешние механизмы надзора. Эти процессы обеспечивают целевое использование средств, прозрачность операций и достижение заявленных экологических и социальных результатов, соответствующих стандартам устойчивого развития. Национальные модели регулирования в России и Казахстане, а также подходы ЕАБР</w:t>
      </w:r>
      <w:r>
        <w:rPr>
          <w:lang w:val="ru-RU"/>
        </w:rPr>
        <w:t xml:space="preserve"> </w:t>
      </w:r>
      <w:r w:rsidRPr="00E8012B">
        <w:rPr>
          <w:lang w:val="ru-RU"/>
        </w:rPr>
        <w:t>имеют как общие черты, так и уникальные особенности, отражающие институциональные и правовые различия.</w:t>
      </w:r>
    </w:p>
    <w:p w14:paraId="7EB411AC" w14:textId="50967B8D" w:rsidR="00E8012B" w:rsidRPr="00E8012B" w:rsidRDefault="00E8012B" w:rsidP="00E46C14">
      <w:pPr>
        <w:spacing w:before="120" w:after="0" w:line="360" w:lineRule="auto"/>
        <w:jc w:val="both"/>
        <w:rPr>
          <w:lang w:val="ru-RU"/>
        </w:rPr>
      </w:pPr>
      <w:r w:rsidRPr="00E8012B">
        <w:rPr>
          <w:lang w:val="ru-RU"/>
        </w:rPr>
        <w:t xml:space="preserve">Во внутренней системе контроля </w:t>
      </w:r>
      <w:r w:rsidRPr="00E8012B">
        <w:rPr>
          <w:b/>
          <w:bCs/>
          <w:lang w:val="ru-RU"/>
        </w:rPr>
        <w:t xml:space="preserve">в России </w:t>
      </w:r>
      <w:r w:rsidRPr="00E8012B">
        <w:rPr>
          <w:lang w:val="ru-RU"/>
        </w:rPr>
        <w:t xml:space="preserve">ключевая роль отводится Министерству экономического развития, Министерству финансов и профильным ведомствам, таким как Министерство энергетики или Министерство природных ресурсов. Они координируют проверку отчётности эмитентов, согласовывают методические подходы к оценке экологических эффектов и, при необходимости, инициируют внеплановые проверки. </w:t>
      </w:r>
      <w:r w:rsidRPr="00E8012B">
        <w:rPr>
          <w:b/>
          <w:bCs/>
          <w:lang w:val="ru-RU"/>
        </w:rPr>
        <w:t>В Казахстане</w:t>
      </w:r>
      <w:r w:rsidRPr="00E8012B">
        <w:rPr>
          <w:lang w:val="ru-RU"/>
        </w:rPr>
        <w:t xml:space="preserve"> контроль осуществляется Министерством финансов, Министерством экологии и природных ресурсов и Агентством по регулированию и развитию финансового рынка, которые следят не только за соблюдением финансовой дисциплины, но и за соответствием проектов национальным целям устойчивого развития. В </w:t>
      </w:r>
      <w:r w:rsidRPr="00E8012B">
        <w:rPr>
          <w:b/>
          <w:bCs/>
          <w:lang w:val="ru-RU"/>
        </w:rPr>
        <w:t>ЕАБР</w:t>
      </w:r>
      <w:r w:rsidRPr="00E8012B">
        <w:rPr>
          <w:lang w:val="ru-RU"/>
        </w:rPr>
        <w:t xml:space="preserve"> функции надзора возложены как на внутренние подразделения банка, так и на специализированные независимые организации, аккредитованные для оценки проектов. Вся информация о мониторинге и результатах проверок фиксируется в цифровой системе наблюдения, синхронизированной с международными стандартами верификации.</w:t>
      </w:r>
    </w:p>
    <w:p w14:paraId="5D16E3A7" w14:textId="77777777" w:rsidR="00E8012B" w:rsidRPr="00E8012B" w:rsidRDefault="00E8012B" w:rsidP="00E46C14">
      <w:pPr>
        <w:spacing w:before="120" w:after="0" w:line="360" w:lineRule="auto"/>
        <w:jc w:val="both"/>
        <w:rPr>
          <w:lang w:val="ru-RU"/>
        </w:rPr>
      </w:pPr>
      <w:r w:rsidRPr="00E8012B">
        <w:rPr>
          <w:lang w:val="ru-RU"/>
        </w:rPr>
        <w:t>Независимые аудиторские проверки являются обязательными элементами системы контроля. В России такие аудиты проводятся ежегодно аккредитованными при Минэкономразвития организациями и включают оценку соответствия расходов утверждённой таксономии зелёных проектов, проверку графиков финансирования и юридическое соответствие условий эмиссии. В Казахстане применяется двухуровневая модель аудита: на предварительном этапе отбора проектов и после завершения ключевых этапов реализации. Аудиторы обязаны предоставлять результаты проверок не только государственным органам, но и публиковать данные для инвесторов. ЕАБР использует международные аудиторские компании, отобранные по согласованной с Европейским центральным банком методике. Эти аудиторы оценивают как экологическую и климатическую эффективность проекта, так и его финансовую состоятельность и устойчивость.</w:t>
      </w:r>
    </w:p>
    <w:p w14:paraId="5228545C" w14:textId="77777777" w:rsidR="00E8012B" w:rsidRPr="00E8012B" w:rsidRDefault="00E8012B" w:rsidP="00E46C14">
      <w:pPr>
        <w:spacing w:before="120" w:after="0" w:line="360" w:lineRule="auto"/>
        <w:jc w:val="both"/>
        <w:rPr>
          <w:lang w:val="ru-RU"/>
        </w:rPr>
      </w:pPr>
      <w:r w:rsidRPr="00E8012B">
        <w:rPr>
          <w:lang w:val="ru-RU"/>
        </w:rPr>
        <w:t>В случае установления нецелевого использования средств законодательства России и Казахстана предусматривают комплекс санкций. В Российской Федерации к эмитентам и должностным лицам могут применяться административные штрафы, обязательное раскрытие информации о нарушении, а также приостановка обращения ценных бумаг. В наиболее тяжёлых случаях возможно возбуждение административных или уголовных дел. Казахстан также предусматривает приостановку обращения облигаций на фондовой бирже, отказ в предоставлении государственной поддержки и обязательное возвратное финансирование. В рамках деятельности ЕАБР санкционные меры закреплены в договорных соглашениях и могут включать приостановку последующих траншей, расторжение договора и исключение организации из участия в будущих программах устойчивого финансирования.</w:t>
      </w:r>
    </w:p>
    <w:p w14:paraId="70392D54" w14:textId="4E404115" w:rsidR="00E8012B" w:rsidRPr="00E8012B" w:rsidRDefault="00E8012B" w:rsidP="00E46C14">
      <w:pPr>
        <w:spacing w:before="120" w:after="0" w:line="360" w:lineRule="auto"/>
        <w:jc w:val="both"/>
        <w:rPr>
          <w:lang w:val="ru-RU"/>
        </w:rPr>
      </w:pPr>
      <w:r w:rsidRPr="00E8012B">
        <w:rPr>
          <w:lang w:val="ru-RU"/>
        </w:rPr>
        <w:t xml:space="preserve">Параллельно с контрольными мерами осуществляется постоянное совершенствование управления средствами. В России с 2024 года активно развивается цифровая платформа раскрытия информации по зелёным финансам, которая интегрируется с базами данных Банка России и Министерства экономического развития. Казахстан разрабатывает систему мониторинга вклада каждого проекта в достижение Целей устойчивого развития, позволяющую отслеживать прогресс в режиме онлайн. ЕАБР внедряет технологии распределённого реестра, обеспечивающие прозрачность, достоверность и неизменность финансовых операций на протяжении всего жизненного цикла проекта. </w:t>
      </w:r>
      <w:r>
        <w:rPr>
          <w:lang w:val="ru-RU"/>
        </w:rPr>
        <w:t>В</w:t>
      </w:r>
      <w:r w:rsidRPr="00E8012B">
        <w:rPr>
          <w:lang w:val="ru-RU"/>
        </w:rPr>
        <w:t>о всех трёх системах происходит регулярный пересмотр нормативной и методологической базы, внедряются международные стандарты (</w:t>
      </w:r>
      <w:r w:rsidRPr="00E8012B">
        <w:t>ICMA</w:t>
      </w:r>
      <w:r w:rsidRPr="00E8012B">
        <w:rPr>
          <w:lang w:val="ru-RU"/>
        </w:rPr>
        <w:t xml:space="preserve">, </w:t>
      </w:r>
      <w:r w:rsidRPr="00E8012B">
        <w:t>GRI</w:t>
      </w:r>
      <w:r w:rsidRPr="00E8012B">
        <w:rPr>
          <w:lang w:val="ru-RU"/>
        </w:rPr>
        <w:t xml:space="preserve">, </w:t>
      </w:r>
      <w:r w:rsidRPr="00E8012B">
        <w:t>TCFD</w:t>
      </w:r>
      <w:r w:rsidRPr="00E8012B">
        <w:rPr>
          <w:lang w:val="ru-RU"/>
        </w:rPr>
        <w:t>), ведётся обмен опытом между странами.</w:t>
      </w:r>
    </w:p>
    <w:p w14:paraId="7B159FA2" w14:textId="18F326A6" w:rsidR="00547C7B" w:rsidRDefault="00547C7B" w:rsidP="00E46C14">
      <w:pPr>
        <w:spacing w:before="120" w:after="0" w:line="360" w:lineRule="auto"/>
        <w:jc w:val="both"/>
        <w:rPr>
          <w:lang w:val="ru-RU"/>
        </w:rPr>
      </w:pPr>
    </w:p>
    <w:p w14:paraId="2C9B1790" w14:textId="54E3C5EE" w:rsidR="006443C7" w:rsidRDefault="006443C7">
      <w:pPr>
        <w:rPr>
          <w:lang w:val="ru-RU"/>
        </w:rPr>
      </w:pPr>
      <w:r>
        <w:rPr>
          <w:lang w:val="ru-RU"/>
        </w:rPr>
        <w:br w:type="page"/>
      </w:r>
    </w:p>
    <w:p w14:paraId="79747E31" w14:textId="77777777" w:rsidR="006443C7" w:rsidRPr="00092290" w:rsidRDefault="006443C7" w:rsidP="006443C7">
      <w:pPr>
        <w:pStyle w:val="1"/>
        <w:spacing w:line="360" w:lineRule="auto"/>
        <w:jc w:val="both"/>
        <w:rPr>
          <w:sz w:val="28"/>
          <w:szCs w:val="28"/>
          <w:lang w:val="ru-RU"/>
        </w:rPr>
      </w:pPr>
      <w:bookmarkStart w:id="12" w:name="_Toc199749165"/>
      <w:bookmarkStart w:id="13" w:name="_Toc199749572"/>
      <w:r w:rsidRPr="00092290">
        <w:rPr>
          <w:sz w:val="28"/>
          <w:szCs w:val="28"/>
          <w:lang w:val="ru-RU"/>
        </w:rPr>
        <w:t>Ссылки</w:t>
      </w:r>
      <w:bookmarkEnd w:id="12"/>
      <w:bookmarkEnd w:id="13"/>
    </w:p>
    <w:p w14:paraId="051A28A6" w14:textId="77777777" w:rsidR="006443C7" w:rsidRDefault="006443C7" w:rsidP="006443C7">
      <w:pPr>
        <w:pStyle w:val="a7"/>
        <w:numPr>
          <w:ilvl w:val="0"/>
          <w:numId w:val="13"/>
        </w:numPr>
        <w:spacing w:line="360" w:lineRule="auto"/>
        <w:jc w:val="both"/>
        <w:rPr>
          <w:lang w:val="ru-RU"/>
        </w:rPr>
      </w:pPr>
      <w:r w:rsidRPr="00EA22C6">
        <w:rPr>
          <w:lang w:val="ru-RU"/>
        </w:rPr>
        <w:t>ВЭБ.РФ</w:t>
      </w:r>
      <w:r>
        <w:rPr>
          <w:lang w:val="ru-RU"/>
        </w:rPr>
        <w:t xml:space="preserve">, </w:t>
      </w:r>
      <w:r w:rsidRPr="00EA22C6">
        <w:rPr>
          <w:lang w:val="ru-RU"/>
        </w:rPr>
        <w:t xml:space="preserve">Зеленые облигации </w:t>
      </w:r>
      <w:hyperlink r:id="rId8" w:history="1">
        <w:r w:rsidRPr="00031AF4">
          <w:rPr>
            <w:rStyle w:val="af"/>
            <w:lang w:val="ru-RU"/>
          </w:rPr>
          <w:t>https://xn--90ab5f.xn--p1ai/investoram/zelenye-obligatsii/</w:t>
        </w:r>
      </w:hyperlink>
      <w:r>
        <w:rPr>
          <w:lang w:val="ru-RU"/>
        </w:rPr>
        <w:t xml:space="preserve"> </w:t>
      </w:r>
    </w:p>
    <w:p w14:paraId="57960BBF" w14:textId="77777777" w:rsidR="006443C7" w:rsidRPr="00065AA5" w:rsidRDefault="006443C7" w:rsidP="006443C7">
      <w:pPr>
        <w:pStyle w:val="a7"/>
        <w:numPr>
          <w:ilvl w:val="0"/>
          <w:numId w:val="13"/>
        </w:numPr>
        <w:spacing w:line="360" w:lineRule="auto"/>
        <w:jc w:val="both"/>
        <w:rPr>
          <w:lang w:val="ru-RU"/>
        </w:rPr>
      </w:pPr>
      <w:r w:rsidRPr="00065AA5">
        <w:rPr>
          <w:lang w:val="ru-RU"/>
        </w:rPr>
        <w:t xml:space="preserve">ВЭБ.РФ, Методология зеленых финансов </w:t>
      </w:r>
      <w:hyperlink r:id="rId9" w:history="1">
        <w:r w:rsidRPr="00065AA5">
          <w:rPr>
            <w:rStyle w:val="af"/>
            <w:lang w:val="ru-RU"/>
          </w:rPr>
          <w:t>https://veb.ru/ustojchivoe-razvitie/zeljonoe-finansirovanie/metodologiya/</w:t>
        </w:r>
      </w:hyperlink>
      <w:r w:rsidRPr="00065AA5">
        <w:rPr>
          <w:lang w:val="ru-RU"/>
        </w:rPr>
        <w:t xml:space="preserve"> </w:t>
      </w:r>
    </w:p>
    <w:p w14:paraId="324D7501" w14:textId="4B6333C7" w:rsidR="006443C7" w:rsidRPr="00092290" w:rsidRDefault="00067C5B" w:rsidP="006443C7">
      <w:pPr>
        <w:pStyle w:val="a7"/>
        <w:numPr>
          <w:ilvl w:val="0"/>
          <w:numId w:val="13"/>
        </w:numPr>
        <w:jc w:val="both"/>
        <w:rPr>
          <w:lang w:val="ru-RU"/>
        </w:rPr>
      </w:pPr>
      <w:r w:rsidRPr="00067C5B">
        <w:rPr>
          <w:lang w:val="ru-RU"/>
        </w:rPr>
        <w:t>Министерство экономики Республики Беларусь</w:t>
      </w:r>
      <w:r>
        <w:rPr>
          <w:lang w:val="ru-RU"/>
        </w:rPr>
        <w:t xml:space="preserve">, </w:t>
      </w:r>
      <w:r w:rsidRPr="00067C5B">
        <w:rPr>
          <w:lang w:val="ru-RU"/>
        </w:rPr>
        <w:br/>
        <w:t>Национальный план по Зелёной экономике</w:t>
      </w:r>
      <w:r>
        <w:rPr>
          <w:lang w:val="ru-RU"/>
        </w:rPr>
        <w:t xml:space="preserve"> </w:t>
      </w:r>
      <w:hyperlink r:id="rId10" w:history="1">
        <w:r w:rsidRPr="00967CAC">
          <w:rPr>
            <w:rStyle w:val="af"/>
            <w:lang w:val="ru-RU"/>
          </w:rPr>
          <w:t>https://economy.gov.by/ru/nac_plan-ru/</w:t>
        </w:r>
      </w:hyperlink>
      <w:r>
        <w:rPr>
          <w:lang w:val="ru-RU"/>
        </w:rPr>
        <w:t xml:space="preserve"> </w:t>
      </w:r>
    </w:p>
    <w:p w14:paraId="608E804D" w14:textId="77777777" w:rsidR="006443C7" w:rsidRPr="00065AA5" w:rsidRDefault="006443C7" w:rsidP="006443C7">
      <w:pPr>
        <w:pStyle w:val="a7"/>
        <w:numPr>
          <w:ilvl w:val="0"/>
          <w:numId w:val="13"/>
        </w:numPr>
        <w:spacing w:line="360" w:lineRule="auto"/>
        <w:jc w:val="both"/>
      </w:pPr>
      <w:r w:rsidRPr="00065AA5">
        <w:rPr>
          <w:lang w:val="ru-RU"/>
        </w:rPr>
        <w:t xml:space="preserve">Критерии зеленых проектов государств-членов ЕАЭС. </w:t>
      </w:r>
      <w:hyperlink r:id="rId11" w:history="1">
        <w:r w:rsidRPr="002C54B2">
          <w:rPr>
            <w:rStyle w:val="af"/>
          </w:rPr>
          <w:t>https://eec.eaeunion.org/upload/medialibrary/fbf/avdqxnky1ryap880n9fh90rg550y0gf4/Kriterii-dlya-opublikovaniya-_Modelnaya-taksonomiya_-17.04.pdf</w:t>
        </w:r>
      </w:hyperlink>
    </w:p>
    <w:p w14:paraId="622A2F1B" w14:textId="0AD57B5C" w:rsidR="00067C5B" w:rsidRDefault="00067C5B" w:rsidP="006443C7">
      <w:pPr>
        <w:pStyle w:val="a7"/>
        <w:numPr>
          <w:ilvl w:val="0"/>
          <w:numId w:val="13"/>
        </w:numPr>
        <w:spacing w:line="360" w:lineRule="auto"/>
        <w:jc w:val="both"/>
        <w:rPr>
          <w:lang w:val="ru-RU"/>
        </w:rPr>
      </w:pPr>
      <w:r w:rsidRPr="00067C5B">
        <w:rPr>
          <w:lang w:val="ru-RU"/>
        </w:rPr>
        <w:t>Национальном плане действий по развитию ”зеленой“ экономики в Республике Беларусь на 2021 – 2025 годы</w:t>
      </w:r>
    </w:p>
    <w:p w14:paraId="55DCFB1D" w14:textId="0184E3F7" w:rsidR="006443C7" w:rsidRDefault="006443C7" w:rsidP="006443C7">
      <w:pPr>
        <w:pStyle w:val="a7"/>
        <w:numPr>
          <w:ilvl w:val="0"/>
          <w:numId w:val="13"/>
        </w:numPr>
        <w:spacing w:line="360" w:lineRule="auto"/>
        <w:jc w:val="both"/>
        <w:rPr>
          <w:lang w:val="ru-RU"/>
        </w:rPr>
      </w:pPr>
      <w:r w:rsidRPr="0089240C">
        <w:rPr>
          <w:lang w:val="ru-RU"/>
        </w:rPr>
        <w:t xml:space="preserve">Московская биржа «Процесс подготовки эмиссии облигаций (для небанковских организаций)»: </w:t>
      </w:r>
      <w:hyperlink r:id="rId12" w:history="1">
        <w:r w:rsidRPr="00967CAC">
          <w:rPr>
            <w:rStyle w:val="af"/>
            <w:lang w:val="ru-RU"/>
          </w:rPr>
          <w:t>https://bondguide.moex.com/articles/bond-preparation-process/42</w:t>
        </w:r>
      </w:hyperlink>
      <w:r>
        <w:rPr>
          <w:lang w:val="ru-RU"/>
        </w:rPr>
        <w:t xml:space="preserve"> </w:t>
      </w:r>
    </w:p>
    <w:p w14:paraId="199A6C04" w14:textId="77777777" w:rsidR="006443C7" w:rsidRPr="00065AA5" w:rsidRDefault="006443C7" w:rsidP="006443C7">
      <w:pPr>
        <w:pStyle w:val="a7"/>
        <w:numPr>
          <w:ilvl w:val="0"/>
          <w:numId w:val="13"/>
        </w:numPr>
        <w:spacing w:line="360" w:lineRule="auto"/>
        <w:jc w:val="both"/>
        <w:rPr>
          <w:lang w:val="ru-RU"/>
        </w:rPr>
      </w:pPr>
      <w:r w:rsidRPr="00065AA5">
        <w:rPr>
          <w:lang w:val="ru-RU"/>
        </w:rPr>
        <w:t xml:space="preserve">Политика Евразийского Банка Развития по выпуску «зеленых» и социальных долговых инструментов, 2021. </w:t>
      </w:r>
      <w:hyperlink r:id="rId13" w:history="1">
        <w:r w:rsidRPr="00065AA5">
          <w:rPr>
            <w:rStyle w:val="af"/>
            <w:lang w:val="ru-RU"/>
          </w:rPr>
          <w:t>https://eabr.org/upload/iblock/724/ESG-Bonds_04.10.2021_3_rus.cleaned.pdf</w:t>
        </w:r>
      </w:hyperlink>
      <w:r w:rsidRPr="00065AA5">
        <w:rPr>
          <w:lang w:val="ru-RU"/>
        </w:rPr>
        <w:t xml:space="preserve"> </w:t>
      </w:r>
    </w:p>
    <w:p w14:paraId="542E9F2F" w14:textId="77777777" w:rsidR="006443C7" w:rsidRPr="00065AA5" w:rsidRDefault="006443C7" w:rsidP="006443C7">
      <w:pPr>
        <w:pStyle w:val="a7"/>
        <w:numPr>
          <w:ilvl w:val="0"/>
          <w:numId w:val="13"/>
        </w:numPr>
        <w:spacing w:line="360" w:lineRule="auto"/>
        <w:jc w:val="both"/>
        <w:rPr>
          <w:lang w:val="ru-RU"/>
        </w:rPr>
      </w:pPr>
      <w:r w:rsidRPr="00065AA5">
        <w:rPr>
          <w:lang w:val="ru-RU"/>
        </w:rPr>
        <w:t>Постановление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p w14:paraId="1B9D9DBA" w14:textId="77777777" w:rsidR="006443C7" w:rsidRPr="00092290" w:rsidRDefault="006443C7" w:rsidP="006443C7">
      <w:pPr>
        <w:pStyle w:val="a7"/>
        <w:numPr>
          <w:ilvl w:val="0"/>
          <w:numId w:val="13"/>
        </w:numPr>
        <w:spacing w:line="360" w:lineRule="auto"/>
        <w:jc w:val="both"/>
        <w:rPr>
          <w:lang w:val="ru-RU"/>
        </w:rPr>
      </w:pPr>
      <w:r w:rsidRPr="00092290">
        <w:rPr>
          <w:lang w:val="ru-RU"/>
        </w:rPr>
        <w:t>Постановление Правительства РФ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 (с изменениями и дополнениями от 30 декабря 2023 г.).</w:t>
      </w:r>
    </w:p>
    <w:p w14:paraId="08B89F46" w14:textId="77777777" w:rsidR="006443C7" w:rsidRPr="00092290" w:rsidRDefault="006443C7" w:rsidP="006443C7">
      <w:pPr>
        <w:pStyle w:val="a7"/>
        <w:numPr>
          <w:ilvl w:val="0"/>
          <w:numId w:val="13"/>
        </w:numPr>
        <w:jc w:val="both"/>
        <w:rPr>
          <w:lang w:val="ru-RU"/>
        </w:rPr>
      </w:pPr>
      <w:r w:rsidRPr="00092290">
        <w:rPr>
          <w:lang w:val="ru-RU"/>
        </w:rPr>
        <w:t>Постановление Совета Министров РБ от 10 декабря 2021 г. №710 об утверждении Национального плана действий по развитию «зеленой» экономики на 2021-2025 годы.</w:t>
      </w:r>
    </w:p>
    <w:p w14:paraId="2DC2E479" w14:textId="77777777" w:rsidR="006443C7" w:rsidRDefault="006443C7" w:rsidP="006443C7">
      <w:pPr>
        <w:pStyle w:val="a7"/>
        <w:numPr>
          <w:ilvl w:val="0"/>
          <w:numId w:val="13"/>
        </w:numPr>
        <w:jc w:val="both"/>
        <w:rPr>
          <w:lang w:val="ru-RU"/>
        </w:rPr>
      </w:pPr>
      <w:r w:rsidRPr="00092290">
        <w:rPr>
          <w:lang w:val="ru-RU"/>
        </w:rPr>
        <w:t>Рамочное соглашение о сотрудничестве между МФЦА, Евразийским банком развития и Министерством финансов Республики Беларусь, 16 июля 2021 года.</w:t>
      </w:r>
    </w:p>
    <w:p w14:paraId="7737EF00" w14:textId="235500BC" w:rsidR="00067C5B" w:rsidRPr="00092290" w:rsidRDefault="00067C5B" w:rsidP="006443C7">
      <w:pPr>
        <w:pStyle w:val="a7"/>
        <w:numPr>
          <w:ilvl w:val="0"/>
          <w:numId w:val="13"/>
        </w:numPr>
        <w:jc w:val="both"/>
        <w:rPr>
          <w:lang w:val="ru-RU"/>
        </w:rPr>
      </w:pPr>
      <w:r w:rsidRPr="00E46C14">
        <w:rPr>
          <w:lang w:val="ru-RU"/>
        </w:rPr>
        <w:t>Распоряжение Правительства РФ от 18 ноября 2020 года №3024-р.</w:t>
      </w:r>
      <w:r>
        <w:rPr>
          <w:lang w:val="ru-RU"/>
        </w:rPr>
        <w:t xml:space="preserve"> «</w:t>
      </w:r>
      <w:r w:rsidRPr="00067C5B">
        <w:rPr>
          <w:lang w:val="ru-RU"/>
        </w:rPr>
        <w:t>О координирующей роли Минэкономразвития России по вопросам развития инвестиционной деятельности и привлечения внебюджетных средств в проекты устойчивого (в том числе зеленого) развития в Российской Федерации</w:t>
      </w:r>
      <w:r>
        <w:rPr>
          <w:lang w:val="ru-RU"/>
        </w:rPr>
        <w:t>».</w:t>
      </w:r>
    </w:p>
    <w:p w14:paraId="28C3B799" w14:textId="77777777" w:rsidR="006443C7" w:rsidRDefault="006443C7" w:rsidP="006443C7">
      <w:pPr>
        <w:pStyle w:val="a7"/>
        <w:numPr>
          <w:ilvl w:val="0"/>
          <w:numId w:val="13"/>
        </w:numPr>
        <w:jc w:val="both"/>
        <w:rPr>
          <w:lang w:val="ru-RU"/>
        </w:rPr>
      </w:pPr>
      <w:r w:rsidRPr="00092290">
        <w:rPr>
          <w:lang w:val="ru-RU"/>
        </w:rPr>
        <w:t>Указ Президента №466 от 15 декабря 2016 года "Об утверждении Программы социально-экономического развития Республики Беларусь на 2016–2020 годы".</w:t>
      </w:r>
    </w:p>
    <w:p w14:paraId="48963D2E" w14:textId="6432E53E" w:rsidR="00067C5B" w:rsidRPr="00092290" w:rsidRDefault="00067C5B" w:rsidP="006443C7">
      <w:pPr>
        <w:pStyle w:val="a7"/>
        <w:numPr>
          <w:ilvl w:val="0"/>
          <w:numId w:val="13"/>
        </w:numPr>
        <w:jc w:val="both"/>
        <w:rPr>
          <w:lang w:val="ru-RU"/>
        </w:rPr>
      </w:pPr>
      <w:r w:rsidRPr="00067C5B">
        <w:rPr>
          <w:lang w:val="ru-RU"/>
        </w:rPr>
        <w:t>Федеральный закон "О рынке ценных бумаг" от 22.04.1996 N 39-ФЗ</w:t>
      </w:r>
      <w:r>
        <w:rPr>
          <w:lang w:val="ru-RU"/>
        </w:rPr>
        <w:t>.</w:t>
      </w:r>
    </w:p>
    <w:p w14:paraId="7767208D" w14:textId="77777777" w:rsidR="006443C7" w:rsidRPr="00065AA5" w:rsidRDefault="006443C7" w:rsidP="006443C7">
      <w:pPr>
        <w:pStyle w:val="a7"/>
        <w:numPr>
          <w:ilvl w:val="0"/>
          <w:numId w:val="13"/>
        </w:numPr>
        <w:spacing w:line="360" w:lineRule="auto"/>
        <w:jc w:val="both"/>
        <w:rPr>
          <w:lang w:val="en-GB"/>
        </w:rPr>
      </w:pPr>
      <w:r w:rsidRPr="00065AA5">
        <w:rPr>
          <w:lang w:val="en-GB"/>
        </w:rPr>
        <w:t xml:space="preserve">Climate Bonds Initiative (CBI) </w:t>
      </w:r>
      <w:hyperlink r:id="rId14" w:history="1">
        <w:r w:rsidRPr="00065AA5">
          <w:rPr>
            <w:rStyle w:val="af"/>
            <w:lang w:val="en-GB"/>
          </w:rPr>
          <w:t>https://www.climatebonds.net/</w:t>
        </w:r>
      </w:hyperlink>
      <w:r w:rsidRPr="00065AA5">
        <w:rPr>
          <w:lang w:val="en-GB"/>
        </w:rPr>
        <w:t xml:space="preserve"> </w:t>
      </w:r>
    </w:p>
    <w:p w14:paraId="48BAF14C" w14:textId="08610C19" w:rsidR="004864C5" w:rsidRPr="004864C5" w:rsidRDefault="004864C5" w:rsidP="006443C7">
      <w:pPr>
        <w:pStyle w:val="a7"/>
        <w:numPr>
          <w:ilvl w:val="0"/>
          <w:numId w:val="13"/>
        </w:numPr>
        <w:spacing w:line="360" w:lineRule="auto"/>
        <w:jc w:val="both"/>
        <w:rPr>
          <w:lang w:val="en-GB"/>
        </w:rPr>
      </w:pPr>
      <w:r w:rsidRPr="004864C5">
        <w:rPr>
          <w:lang w:val="en-GB"/>
        </w:rPr>
        <w:t xml:space="preserve">BREEAM certification system </w:t>
      </w:r>
      <w:hyperlink r:id="rId15" w:history="1">
        <w:r w:rsidRPr="00967CAC">
          <w:rPr>
            <w:rStyle w:val="af"/>
            <w:lang w:val="en-GB"/>
          </w:rPr>
          <w:t>https://breeam.com/</w:t>
        </w:r>
      </w:hyperlink>
      <w:r w:rsidRPr="004864C5">
        <w:rPr>
          <w:lang w:val="en-GB"/>
        </w:rPr>
        <w:t xml:space="preserve">  </w:t>
      </w:r>
    </w:p>
    <w:p w14:paraId="4A58B55C" w14:textId="4578DCC9" w:rsidR="006443C7" w:rsidRPr="0089240C" w:rsidRDefault="006443C7" w:rsidP="006443C7">
      <w:pPr>
        <w:pStyle w:val="a7"/>
        <w:numPr>
          <w:ilvl w:val="0"/>
          <w:numId w:val="13"/>
        </w:numPr>
        <w:spacing w:line="360" w:lineRule="auto"/>
        <w:jc w:val="both"/>
        <w:rPr>
          <w:lang w:val="en-GB"/>
        </w:rPr>
      </w:pPr>
      <w:r>
        <w:rPr>
          <w:lang w:val="en-GB"/>
        </w:rPr>
        <w:t xml:space="preserve">CBI, </w:t>
      </w:r>
      <w:r w:rsidRPr="003D5C7B">
        <w:rPr>
          <w:lang w:val="en-GB"/>
        </w:rPr>
        <w:t>Climate Bonds Standard V4.2</w:t>
      </w:r>
      <w:r>
        <w:rPr>
          <w:lang w:val="en-GB"/>
        </w:rPr>
        <w:t xml:space="preserve"> </w:t>
      </w:r>
      <w:hyperlink r:id="rId16" w:history="1">
        <w:r w:rsidRPr="00031AF4">
          <w:rPr>
            <w:rStyle w:val="af"/>
            <w:lang w:val="en-GB"/>
          </w:rPr>
          <w:t>https://www.climatebonds.net/climate-bonds-standard-v42</w:t>
        </w:r>
      </w:hyperlink>
      <w:r>
        <w:rPr>
          <w:lang w:val="en-GB"/>
        </w:rPr>
        <w:t xml:space="preserve"> </w:t>
      </w:r>
    </w:p>
    <w:p w14:paraId="4832793E" w14:textId="77777777" w:rsidR="006443C7" w:rsidRPr="00067C5B" w:rsidRDefault="006443C7" w:rsidP="006443C7">
      <w:pPr>
        <w:pStyle w:val="a7"/>
        <w:numPr>
          <w:ilvl w:val="0"/>
          <w:numId w:val="13"/>
        </w:numPr>
        <w:spacing w:line="360" w:lineRule="auto"/>
        <w:jc w:val="both"/>
        <w:rPr>
          <w:lang w:val="en-GB"/>
        </w:rPr>
      </w:pPr>
      <w:r w:rsidRPr="00065AA5">
        <w:rPr>
          <w:lang w:val="en-GB"/>
        </w:rPr>
        <w:t xml:space="preserve">GRI, The global standards for sustainability impacts </w:t>
      </w:r>
      <w:hyperlink r:id="rId17" w:history="1">
        <w:r w:rsidRPr="00065AA5">
          <w:rPr>
            <w:rStyle w:val="af"/>
            <w:lang w:val="en-GB"/>
          </w:rPr>
          <w:t>https://www.globalreporting.org/standards/</w:t>
        </w:r>
      </w:hyperlink>
      <w:r w:rsidRPr="00065AA5">
        <w:rPr>
          <w:lang w:val="en-GB"/>
        </w:rPr>
        <w:t xml:space="preserve"> </w:t>
      </w:r>
    </w:p>
    <w:p w14:paraId="1300D722" w14:textId="77777777" w:rsidR="00067C5B" w:rsidRPr="00065AA5" w:rsidRDefault="00067C5B" w:rsidP="00067C5B">
      <w:pPr>
        <w:pStyle w:val="a7"/>
        <w:numPr>
          <w:ilvl w:val="0"/>
          <w:numId w:val="13"/>
        </w:numPr>
        <w:spacing w:line="360" w:lineRule="auto"/>
        <w:jc w:val="both"/>
        <w:rPr>
          <w:lang w:val="en-GB"/>
        </w:rPr>
      </w:pPr>
      <w:r w:rsidRPr="00065AA5">
        <w:rPr>
          <w:lang w:val="en-GB"/>
        </w:rPr>
        <w:t xml:space="preserve">European Commission, EU taxonomy for sustainable activities </w:t>
      </w:r>
      <w:hyperlink r:id="rId18" w:history="1">
        <w:r w:rsidRPr="00065AA5">
          <w:rPr>
            <w:rStyle w:val="af"/>
            <w:lang w:val="en-GB"/>
          </w:rPr>
          <w:t>https://finance.ec.europa.eu/sustainable-finance/tools-and-standards/eu-taxonomy-sustainable-activities_en</w:t>
        </w:r>
      </w:hyperlink>
      <w:r w:rsidRPr="00065AA5">
        <w:rPr>
          <w:lang w:val="en-GB"/>
        </w:rPr>
        <w:t xml:space="preserve"> </w:t>
      </w:r>
    </w:p>
    <w:p w14:paraId="53620BCD" w14:textId="77777777" w:rsidR="006443C7" w:rsidRPr="0089240C" w:rsidRDefault="006443C7" w:rsidP="006443C7">
      <w:pPr>
        <w:pStyle w:val="a7"/>
        <w:numPr>
          <w:ilvl w:val="0"/>
          <w:numId w:val="13"/>
        </w:numPr>
        <w:spacing w:line="360" w:lineRule="auto"/>
        <w:jc w:val="both"/>
        <w:rPr>
          <w:lang w:val="en-GB"/>
        </w:rPr>
      </w:pPr>
      <w:r w:rsidRPr="00065AA5">
        <w:rPr>
          <w:lang w:val="en-GB"/>
        </w:rPr>
        <w:t xml:space="preserve">ICMA, Green Bond Framework </w:t>
      </w:r>
      <w:hyperlink r:id="rId19" w:history="1">
        <w:r w:rsidRPr="00065AA5">
          <w:rPr>
            <w:rStyle w:val="af"/>
            <w:lang w:val="en-GB"/>
          </w:rPr>
          <w:t>https://www.icmagroup.org/sustainable-finance/the-principles-guidelines-and-handbooks/green-bond-principles-gbp/</w:t>
        </w:r>
      </w:hyperlink>
      <w:r w:rsidRPr="00065AA5">
        <w:rPr>
          <w:lang w:val="en-GB"/>
        </w:rPr>
        <w:t xml:space="preserve"> </w:t>
      </w:r>
    </w:p>
    <w:p w14:paraId="736B8DDD" w14:textId="77777777" w:rsidR="006443C7" w:rsidRPr="004864C5" w:rsidRDefault="006443C7" w:rsidP="006443C7">
      <w:pPr>
        <w:pStyle w:val="a7"/>
        <w:numPr>
          <w:ilvl w:val="0"/>
          <w:numId w:val="13"/>
        </w:numPr>
        <w:spacing w:line="360" w:lineRule="auto"/>
        <w:jc w:val="both"/>
        <w:rPr>
          <w:lang w:val="en-GB"/>
        </w:rPr>
      </w:pPr>
      <w:r>
        <w:rPr>
          <w:lang w:val="en-GB"/>
        </w:rPr>
        <w:t xml:space="preserve">ICMA </w:t>
      </w:r>
      <w:r w:rsidRPr="003D5C7B">
        <w:rPr>
          <w:lang w:val="en-GB"/>
        </w:rPr>
        <w:t>Handbook Harmonised Framework for Impact Reporting June 2022</w:t>
      </w:r>
      <w:r>
        <w:rPr>
          <w:lang w:val="en-GB"/>
        </w:rPr>
        <w:t xml:space="preserve"> </w:t>
      </w:r>
      <w:hyperlink r:id="rId20" w:history="1">
        <w:r w:rsidRPr="00031AF4">
          <w:rPr>
            <w:rStyle w:val="af"/>
            <w:lang w:val="en-GB"/>
          </w:rPr>
          <w:t>https://www.icmagroup.org/assets/documents/sustainable-finance/2022-updates/harmonised-framework-for-impact-reporting-green-bonds_june-2022-280622.pdf</w:t>
        </w:r>
      </w:hyperlink>
    </w:p>
    <w:p w14:paraId="20FA10BB" w14:textId="3E16D7D9" w:rsidR="004864C5" w:rsidRPr="00092290" w:rsidRDefault="004864C5" w:rsidP="006443C7">
      <w:pPr>
        <w:pStyle w:val="a7"/>
        <w:numPr>
          <w:ilvl w:val="0"/>
          <w:numId w:val="13"/>
        </w:numPr>
        <w:spacing w:line="360" w:lineRule="auto"/>
        <w:jc w:val="both"/>
        <w:rPr>
          <w:lang w:val="en-GB"/>
        </w:rPr>
      </w:pPr>
      <w:r w:rsidRPr="00804507">
        <w:rPr>
          <w:lang w:val="en-GB"/>
        </w:rPr>
        <w:t xml:space="preserve">Leadership in Energy and Environmental Design (LEED) </w:t>
      </w:r>
      <w:hyperlink r:id="rId21" w:history="1">
        <w:r w:rsidRPr="005D5300">
          <w:rPr>
            <w:rStyle w:val="af"/>
            <w:lang w:val="en-GB"/>
          </w:rPr>
          <w:t>https://www.usgbc.org/leed</w:t>
        </w:r>
      </w:hyperlink>
    </w:p>
    <w:p w14:paraId="412D1467" w14:textId="77777777" w:rsidR="006443C7" w:rsidRPr="006443C7" w:rsidRDefault="006443C7" w:rsidP="00E46C14">
      <w:pPr>
        <w:spacing w:before="120" w:after="0" w:line="360" w:lineRule="auto"/>
        <w:jc w:val="both"/>
        <w:rPr>
          <w:lang w:val="en-GB"/>
        </w:rPr>
      </w:pPr>
    </w:p>
    <w:sectPr w:rsidR="006443C7" w:rsidRPr="006443C7">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6A4B" w14:textId="77777777" w:rsidR="00896AB3" w:rsidRDefault="00896AB3" w:rsidP="00172845">
      <w:pPr>
        <w:spacing w:after="0" w:line="240" w:lineRule="auto"/>
      </w:pPr>
      <w:r>
        <w:separator/>
      </w:r>
    </w:p>
  </w:endnote>
  <w:endnote w:type="continuationSeparator" w:id="0">
    <w:p w14:paraId="60C57582" w14:textId="77777777" w:rsidR="00896AB3" w:rsidRDefault="00896AB3" w:rsidP="0017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579313"/>
      <w:docPartObj>
        <w:docPartGallery w:val="Page Numbers (Bottom of Page)"/>
        <w:docPartUnique/>
      </w:docPartObj>
    </w:sdtPr>
    <w:sdtEndPr/>
    <w:sdtContent>
      <w:p w14:paraId="48CA6416" w14:textId="7392D443" w:rsidR="005D331B" w:rsidRDefault="005D331B">
        <w:pPr>
          <w:pStyle w:val="af6"/>
          <w:jc w:val="right"/>
        </w:pPr>
        <w:r>
          <w:fldChar w:fldCharType="begin"/>
        </w:r>
        <w:r>
          <w:instrText>PAGE   \* MERGEFORMAT</w:instrText>
        </w:r>
        <w:r>
          <w:fldChar w:fldCharType="separate"/>
        </w:r>
        <w:r w:rsidR="00063950">
          <w:rPr>
            <w:noProof/>
          </w:rPr>
          <w:t>1</w:t>
        </w:r>
        <w:r>
          <w:fldChar w:fldCharType="end"/>
        </w:r>
      </w:p>
    </w:sdtContent>
  </w:sdt>
  <w:p w14:paraId="5B9B149B" w14:textId="77777777" w:rsidR="005D331B" w:rsidRDefault="005D331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3EE71" w14:textId="77777777" w:rsidR="00896AB3" w:rsidRDefault="00896AB3" w:rsidP="00172845">
      <w:pPr>
        <w:spacing w:after="0" w:line="240" w:lineRule="auto"/>
      </w:pPr>
      <w:r>
        <w:separator/>
      </w:r>
    </w:p>
  </w:footnote>
  <w:footnote w:type="continuationSeparator" w:id="0">
    <w:p w14:paraId="1995CA01" w14:textId="77777777" w:rsidR="00896AB3" w:rsidRDefault="00896AB3" w:rsidP="00172845">
      <w:pPr>
        <w:spacing w:after="0" w:line="240" w:lineRule="auto"/>
      </w:pPr>
      <w:r>
        <w:continuationSeparator/>
      </w:r>
    </w:p>
  </w:footnote>
  <w:footnote w:id="1">
    <w:p w14:paraId="6E98DA0F" w14:textId="626FF655" w:rsidR="00E46C14" w:rsidRPr="00E46C14" w:rsidRDefault="00E46C14">
      <w:pPr>
        <w:pStyle w:val="ac"/>
        <w:rPr>
          <w:lang w:val="ru-RU"/>
        </w:rPr>
      </w:pPr>
      <w:r>
        <w:rPr>
          <w:rStyle w:val="ae"/>
        </w:rPr>
        <w:footnoteRef/>
      </w:r>
      <w:r>
        <w:t xml:space="preserve"> </w:t>
      </w:r>
      <w:hyperlink r:id="rId1" w:history="1">
        <w:r w:rsidRPr="005D5300">
          <w:rPr>
            <w:rStyle w:val="af"/>
          </w:rPr>
          <w:t>https://www.icmagroup.org/sustainable-finance/the-principles-guidelines-and-handbooks/green-bond-principles-gbp/</w:t>
        </w:r>
      </w:hyperlink>
      <w:r>
        <w:rPr>
          <w:lang w:val="ru-RU"/>
        </w:rPr>
        <w:t xml:space="preserve"> </w:t>
      </w:r>
    </w:p>
  </w:footnote>
  <w:footnote w:id="2">
    <w:p w14:paraId="3A8B25FA" w14:textId="0E72FAEB" w:rsidR="00804507" w:rsidRPr="00804507" w:rsidRDefault="00804507">
      <w:pPr>
        <w:pStyle w:val="ac"/>
        <w:rPr>
          <w:lang w:val="ru-RU"/>
        </w:rPr>
      </w:pPr>
      <w:r>
        <w:rPr>
          <w:rStyle w:val="ae"/>
        </w:rPr>
        <w:footnoteRef/>
      </w:r>
      <w:r w:rsidRPr="00804507">
        <w:rPr>
          <w:lang w:val="ru-RU"/>
        </w:rPr>
        <w:t xml:space="preserve"> </w:t>
      </w:r>
      <w:hyperlink r:id="rId2" w:history="1">
        <w:r w:rsidRPr="005D5300">
          <w:rPr>
            <w:rStyle w:val="af"/>
            <w:lang w:val="ru-RU"/>
          </w:rPr>
          <w:t>https://economy.gov.by/ru/nac_plan-ru/</w:t>
        </w:r>
      </w:hyperlink>
      <w:r>
        <w:rPr>
          <w:lang w:val="ru-RU"/>
        </w:rPr>
        <w:t xml:space="preserve"> </w:t>
      </w:r>
    </w:p>
  </w:footnote>
  <w:footnote w:id="3">
    <w:p w14:paraId="344B775B" w14:textId="0D3EE00A" w:rsidR="00E46C14" w:rsidRPr="00E46C14" w:rsidRDefault="00E46C14">
      <w:pPr>
        <w:pStyle w:val="ac"/>
        <w:rPr>
          <w:lang w:val="ru-RU"/>
        </w:rPr>
      </w:pPr>
      <w:r>
        <w:rPr>
          <w:rStyle w:val="ae"/>
        </w:rPr>
        <w:footnoteRef/>
      </w:r>
      <w:r w:rsidRPr="00E46C14">
        <w:rPr>
          <w:lang w:val="ru-RU"/>
        </w:rPr>
        <w:t xml:space="preserve"> </w:t>
      </w:r>
      <w:hyperlink r:id="rId3" w:history="1">
        <w:r w:rsidRPr="005D5300">
          <w:rPr>
            <w:rStyle w:val="af"/>
          </w:rPr>
          <w:t>https</w:t>
        </w:r>
        <w:r w:rsidRPr="005D5300">
          <w:rPr>
            <w:rStyle w:val="af"/>
            <w:lang w:val="ru-RU"/>
          </w:rPr>
          <w:t>://</w:t>
        </w:r>
        <w:r w:rsidRPr="005D5300">
          <w:rPr>
            <w:rStyle w:val="af"/>
          </w:rPr>
          <w:t>www</w:t>
        </w:r>
        <w:r w:rsidRPr="005D5300">
          <w:rPr>
            <w:rStyle w:val="af"/>
            <w:lang w:val="ru-RU"/>
          </w:rPr>
          <w:t>.</w:t>
        </w:r>
        <w:r w:rsidRPr="005D5300">
          <w:rPr>
            <w:rStyle w:val="af"/>
          </w:rPr>
          <w:t>consultant</w:t>
        </w:r>
        <w:r w:rsidRPr="005D5300">
          <w:rPr>
            <w:rStyle w:val="af"/>
            <w:lang w:val="ru-RU"/>
          </w:rPr>
          <w:t>.</w:t>
        </w:r>
        <w:r w:rsidRPr="005D5300">
          <w:rPr>
            <w:rStyle w:val="af"/>
          </w:rPr>
          <w:t>ru</w:t>
        </w:r>
        <w:r w:rsidRPr="005D5300">
          <w:rPr>
            <w:rStyle w:val="af"/>
            <w:lang w:val="ru-RU"/>
          </w:rPr>
          <w:t>/</w:t>
        </w:r>
        <w:r w:rsidRPr="005D5300">
          <w:rPr>
            <w:rStyle w:val="af"/>
          </w:rPr>
          <w:t>document</w:t>
        </w:r>
        <w:r w:rsidRPr="005D5300">
          <w:rPr>
            <w:rStyle w:val="af"/>
            <w:lang w:val="ru-RU"/>
          </w:rPr>
          <w:t>/</w:t>
        </w:r>
        <w:r w:rsidRPr="005D5300">
          <w:rPr>
            <w:rStyle w:val="af"/>
          </w:rPr>
          <w:t>cons</w:t>
        </w:r>
        <w:r w:rsidRPr="005D5300">
          <w:rPr>
            <w:rStyle w:val="af"/>
            <w:lang w:val="ru-RU"/>
          </w:rPr>
          <w:t>_</w:t>
        </w:r>
        <w:r w:rsidRPr="005D5300">
          <w:rPr>
            <w:rStyle w:val="af"/>
          </w:rPr>
          <w:t>doc</w:t>
        </w:r>
        <w:r w:rsidRPr="005D5300">
          <w:rPr>
            <w:rStyle w:val="af"/>
            <w:lang w:val="ru-RU"/>
          </w:rPr>
          <w:t>_</w:t>
        </w:r>
        <w:r w:rsidRPr="005D5300">
          <w:rPr>
            <w:rStyle w:val="af"/>
          </w:rPr>
          <w:t>LAW</w:t>
        </w:r>
        <w:r w:rsidRPr="005D5300">
          <w:rPr>
            <w:rStyle w:val="af"/>
            <w:lang w:val="ru-RU"/>
          </w:rPr>
          <w:t>_10148/</w:t>
        </w:r>
      </w:hyperlink>
      <w:r>
        <w:rPr>
          <w:lang w:val="ru-RU"/>
        </w:rPr>
        <w:t xml:space="preserve"> </w:t>
      </w:r>
    </w:p>
  </w:footnote>
  <w:footnote w:id="4">
    <w:p w14:paraId="5E3B45CA" w14:textId="4E481825" w:rsidR="00E46C14" w:rsidRPr="00E46C14" w:rsidRDefault="00E46C14">
      <w:pPr>
        <w:pStyle w:val="ac"/>
        <w:rPr>
          <w:lang w:val="ru-RU"/>
        </w:rPr>
      </w:pPr>
      <w:r>
        <w:rPr>
          <w:rStyle w:val="ae"/>
        </w:rPr>
        <w:footnoteRef/>
      </w:r>
      <w:r w:rsidRPr="00E46C14">
        <w:rPr>
          <w:lang w:val="ru-RU"/>
        </w:rPr>
        <w:t xml:space="preserve"> Распоряжение Правительства РФ от 18 ноября 2020 года №3024-р.</w:t>
      </w:r>
    </w:p>
  </w:footnote>
  <w:footnote w:id="5">
    <w:p w14:paraId="42A91DED" w14:textId="21BCC436" w:rsidR="000479E0" w:rsidRPr="000479E0" w:rsidRDefault="000479E0">
      <w:pPr>
        <w:pStyle w:val="ac"/>
        <w:rPr>
          <w:lang w:val="ru-RU"/>
        </w:rPr>
      </w:pPr>
      <w:r>
        <w:rPr>
          <w:rStyle w:val="ae"/>
        </w:rPr>
        <w:footnoteRef/>
      </w:r>
      <w:r w:rsidRPr="000479E0">
        <w:rPr>
          <w:lang w:val="ru-RU"/>
        </w:rPr>
        <w:t xml:space="preserve"> </w:t>
      </w:r>
      <w:hyperlink r:id="rId4" w:history="1">
        <w:r w:rsidRPr="005D5300">
          <w:rPr>
            <w:rStyle w:val="af"/>
          </w:rPr>
          <w:t>https</w:t>
        </w:r>
        <w:r w:rsidRPr="005D5300">
          <w:rPr>
            <w:rStyle w:val="af"/>
            <w:lang w:val="ru-RU"/>
          </w:rPr>
          <w:t>://</w:t>
        </w:r>
        <w:r w:rsidRPr="005D5300">
          <w:rPr>
            <w:rStyle w:val="af"/>
          </w:rPr>
          <w:t>www</w:t>
        </w:r>
        <w:r w:rsidRPr="005D5300">
          <w:rPr>
            <w:rStyle w:val="af"/>
            <w:lang w:val="ru-RU"/>
          </w:rPr>
          <w:t>.</w:t>
        </w:r>
        <w:r w:rsidRPr="005D5300">
          <w:rPr>
            <w:rStyle w:val="af"/>
          </w:rPr>
          <w:t>climatebonds</w:t>
        </w:r>
        <w:r w:rsidRPr="005D5300">
          <w:rPr>
            <w:rStyle w:val="af"/>
            <w:lang w:val="ru-RU"/>
          </w:rPr>
          <w:t>.</w:t>
        </w:r>
        <w:r w:rsidRPr="005D5300">
          <w:rPr>
            <w:rStyle w:val="af"/>
          </w:rPr>
          <w:t>net</w:t>
        </w:r>
        <w:r w:rsidRPr="005D5300">
          <w:rPr>
            <w:rStyle w:val="af"/>
            <w:lang w:val="ru-RU"/>
          </w:rPr>
          <w:t>/</w:t>
        </w:r>
        <w:r w:rsidRPr="005D5300">
          <w:rPr>
            <w:rStyle w:val="af"/>
          </w:rPr>
          <w:t>standard</w:t>
        </w:r>
        <w:r w:rsidRPr="005D5300">
          <w:rPr>
            <w:rStyle w:val="af"/>
            <w:lang w:val="ru-RU"/>
          </w:rPr>
          <w:t>/</w:t>
        </w:r>
        <w:r w:rsidRPr="005D5300">
          <w:rPr>
            <w:rStyle w:val="af"/>
          </w:rPr>
          <w:t>the</w:t>
        </w:r>
        <w:r w:rsidRPr="005D5300">
          <w:rPr>
            <w:rStyle w:val="af"/>
            <w:lang w:val="ru-RU"/>
          </w:rPr>
          <w:t>-</w:t>
        </w:r>
        <w:r w:rsidRPr="005D5300">
          <w:rPr>
            <w:rStyle w:val="af"/>
          </w:rPr>
          <w:t>standard</w:t>
        </w:r>
      </w:hyperlink>
      <w:r>
        <w:rPr>
          <w:lang w:val="ru-RU"/>
        </w:rPr>
        <w:t xml:space="preserve"> </w:t>
      </w:r>
    </w:p>
  </w:footnote>
  <w:footnote w:id="6">
    <w:p w14:paraId="4AE3B72C" w14:textId="5F6C040B" w:rsidR="000479E0" w:rsidRPr="000479E0" w:rsidRDefault="000479E0">
      <w:pPr>
        <w:pStyle w:val="ac"/>
        <w:rPr>
          <w:lang w:val="ru-RU"/>
        </w:rPr>
      </w:pPr>
      <w:r>
        <w:rPr>
          <w:rStyle w:val="ae"/>
        </w:rPr>
        <w:footnoteRef/>
      </w:r>
      <w:r w:rsidRPr="000479E0">
        <w:rPr>
          <w:lang w:val="ru-RU"/>
        </w:rPr>
        <w:t xml:space="preserve"> </w:t>
      </w:r>
      <w:hyperlink r:id="rId5" w:history="1">
        <w:r w:rsidRPr="005D5300">
          <w:rPr>
            <w:rStyle w:val="af"/>
          </w:rPr>
          <w:t>https</w:t>
        </w:r>
        <w:r w:rsidRPr="005D5300">
          <w:rPr>
            <w:rStyle w:val="af"/>
            <w:lang w:val="ru-RU"/>
          </w:rPr>
          <w:t>://</w:t>
        </w:r>
        <w:r w:rsidRPr="005D5300">
          <w:rPr>
            <w:rStyle w:val="af"/>
          </w:rPr>
          <w:t>finance</w:t>
        </w:r>
        <w:r w:rsidRPr="005D5300">
          <w:rPr>
            <w:rStyle w:val="af"/>
            <w:lang w:val="ru-RU"/>
          </w:rPr>
          <w:t>.</w:t>
        </w:r>
        <w:r w:rsidRPr="005D5300">
          <w:rPr>
            <w:rStyle w:val="af"/>
          </w:rPr>
          <w:t>ec</w:t>
        </w:r>
        <w:r w:rsidRPr="005D5300">
          <w:rPr>
            <w:rStyle w:val="af"/>
            <w:lang w:val="ru-RU"/>
          </w:rPr>
          <w:t>.</w:t>
        </w:r>
        <w:r w:rsidRPr="005D5300">
          <w:rPr>
            <w:rStyle w:val="af"/>
          </w:rPr>
          <w:t>europa</w:t>
        </w:r>
        <w:r w:rsidRPr="005D5300">
          <w:rPr>
            <w:rStyle w:val="af"/>
            <w:lang w:val="ru-RU"/>
          </w:rPr>
          <w:t>.</w:t>
        </w:r>
        <w:r w:rsidRPr="005D5300">
          <w:rPr>
            <w:rStyle w:val="af"/>
          </w:rPr>
          <w:t>eu</w:t>
        </w:r>
        <w:r w:rsidRPr="005D5300">
          <w:rPr>
            <w:rStyle w:val="af"/>
            <w:lang w:val="ru-RU"/>
          </w:rPr>
          <w:t>/</w:t>
        </w:r>
        <w:r w:rsidRPr="005D5300">
          <w:rPr>
            <w:rStyle w:val="af"/>
          </w:rPr>
          <w:t>sustainable</w:t>
        </w:r>
        <w:r w:rsidRPr="005D5300">
          <w:rPr>
            <w:rStyle w:val="af"/>
            <w:lang w:val="ru-RU"/>
          </w:rPr>
          <w:t>-</w:t>
        </w:r>
        <w:r w:rsidRPr="005D5300">
          <w:rPr>
            <w:rStyle w:val="af"/>
          </w:rPr>
          <w:t>finance</w:t>
        </w:r>
        <w:r w:rsidRPr="005D5300">
          <w:rPr>
            <w:rStyle w:val="af"/>
            <w:lang w:val="ru-RU"/>
          </w:rPr>
          <w:t>/</w:t>
        </w:r>
        <w:r w:rsidRPr="005D5300">
          <w:rPr>
            <w:rStyle w:val="af"/>
          </w:rPr>
          <w:t>tools</w:t>
        </w:r>
        <w:r w:rsidRPr="005D5300">
          <w:rPr>
            <w:rStyle w:val="af"/>
            <w:lang w:val="ru-RU"/>
          </w:rPr>
          <w:t>-</w:t>
        </w:r>
        <w:r w:rsidRPr="005D5300">
          <w:rPr>
            <w:rStyle w:val="af"/>
          </w:rPr>
          <w:t>and</w:t>
        </w:r>
        <w:r w:rsidRPr="005D5300">
          <w:rPr>
            <w:rStyle w:val="af"/>
            <w:lang w:val="ru-RU"/>
          </w:rPr>
          <w:t>-</w:t>
        </w:r>
        <w:r w:rsidRPr="005D5300">
          <w:rPr>
            <w:rStyle w:val="af"/>
          </w:rPr>
          <w:t>standards</w:t>
        </w:r>
        <w:r w:rsidRPr="005D5300">
          <w:rPr>
            <w:rStyle w:val="af"/>
            <w:lang w:val="ru-RU"/>
          </w:rPr>
          <w:t>/</w:t>
        </w:r>
        <w:r w:rsidRPr="005D5300">
          <w:rPr>
            <w:rStyle w:val="af"/>
          </w:rPr>
          <w:t>eu</w:t>
        </w:r>
        <w:r w:rsidRPr="005D5300">
          <w:rPr>
            <w:rStyle w:val="af"/>
            <w:lang w:val="ru-RU"/>
          </w:rPr>
          <w:t>-</w:t>
        </w:r>
        <w:r w:rsidRPr="005D5300">
          <w:rPr>
            <w:rStyle w:val="af"/>
          </w:rPr>
          <w:t>taxonomy</w:t>
        </w:r>
        <w:r w:rsidRPr="005D5300">
          <w:rPr>
            <w:rStyle w:val="af"/>
            <w:lang w:val="ru-RU"/>
          </w:rPr>
          <w:t>-</w:t>
        </w:r>
        <w:r w:rsidRPr="005D5300">
          <w:rPr>
            <w:rStyle w:val="af"/>
          </w:rPr>
          <w:t>sustainable</w:t>
        </w:r>
        <w:r w:rsidRPr="005D5300">
          <w:rPr>
            <w:rStyle w:val="af"/>
            <w:lang w:val="ru-RU"/>
          </w:rPr>
          <w:t>-</w:t>
        </w:r>
        <w:r w:rsidRPr="005D5300">
          <w:rPr>
            <w:rStyle w:val="af"/>
          </w:rPr>
          <w:t>activities</w:t>
        </w:r>
        <w:r w:rsidRPr="005D5300">
          <w:rPr>
            <w:rStyle w:val="af"/>
            <w:lang w:val="ru-RU"/>
          </w:rPr>
          <w:t>_</w:t>
        </w:r>
        <w:r w:rsidRPr="005D5300">
          <w:rPr>
            <w:rStyle w:val="af"/>
          </w:rPr>
          <w:t>en</w:t>
        </w:r>
      </w:hyperlink>
      <w:r>
        <w:rPr>
          <w:lang w:val="ru-RU"/>
        </w:rPr>
        <w:t xml:space="preserve"> </w:t>
      </w:r>
    </w:p>
  </w:footnote>
  <w:footnote w:id="7">
    <w:p w14:paraId="38CA47BF" w14:textId="49353030" w:rsidR="00804507" w:rsidRPr="00804507" w:rsidRDefault="00804507">
      <w:pPr>
        <w:pStyle w:val="ac"/>
        <w:rPr>
          <w:lang w:val="en-GB"/>
        </w:rPr>
      </w:pPr>
      <w:r>
        <w:rPr>
          <w:rStyle w:val="ae"/>
        </w:rPr>
        <w:footnoteRef/>
      </w:r>
      <w:r w:rsidRPr="00804507">
        <w:rPr>
          <w:lang w:val="en-GB"/>
        </w:rPr>
        <w:t xml:space="preserve"> BREEAM certification system </w:t>
      </w:r>
      <w:hyperlink r:id="rId6" w:history="1">
        <w:r w:rsidRPr="00804507">
          <w:rPr>
            <w:rStyle w:val="af"/>
            <w:lang w:val="en-GB"/>
          </w:rPr>
          <w:t>https://breeam.com/</w:t>
        </w:r>
      </w:hyperlink>
      <w:r w:rsidRPr="00804507">
        <w:rPr>
          <w:lang w:val="en-GB"/>
        </w:rPr>
        <w:t xml:space="preserve"> </w:t>
      </w:r>
    </w:p>
  </w:footnote>
  <w:footnote w:id="8">
    <w:p w14:paraId="42CB2731" w14:textId="58626EF7" w:rsidR="00804507" w:rsidRPr="00804507" w:rsidRDefault="00804507">
      <w:pPr>
        <w:pStyle w:val="ac"/>
        <w:rPr>
          <w:lang w:val="en-GB"/>
        </w:rPr>
      </w:pPr>
      <w:r>
        <w:rPr>
          <w:rStyle w:val="ae"/>
        </w:rPr>
        <w:footnoteRef/>
      </w:r>
      <w:r w:rsidRPr="00804507">
        <w:rPr>
          <w:lang w:val="en-GB"/>
        </w:rPr>
        <w:t xml:space="preserve"> Leadership in Energy and Environmental Design (LEED) </w:t>
      </w:r>
      <w:hyperlink r:id="rId7" w:history="1">
        <w:r w:rsidRPr="005D5300">
          <w:rPr>
            <w:rStyle w:val="af"/>
            <w:lang w:val="en-GB"/>
          </w:rPr>
          <w:t>https://www.usgbc.org/leed</w:t>
        </w:r>
      </w:hyperlink>
      <w:r w:rsidRPr="00804507">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6D8B"/>
    <w:multiLevelType w:val="hybridMultilevel"/>
    <w:tmpl w:val="9CC6F79E"/>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3C65D1"/>
    <w:multiLevelType w:val="hybridMultilevel"/>
    <w:tmpl w:val="B4523220"/>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7B6493"/>
    <w:multiLevelType w:val="hybridMultilevel"/>
    <w:tmpl w:val="696E0A9E"/>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641571"/>
    <w:multiLevelType w:val="hybridMultilevel"/>
    <w:tmpl w:val="7BBA1C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E01A3F"/>
    <w:multiLevelType w:val="hybridMultilevel"/>
    <w:tmpl w:val="31C2391A"/>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DF1636"/>
    <w:multiLevelType w:val="hybridMultilevel"/>
    <w:tmpl w:val="85DA7F38"/>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8A63A3"/>
    <w:multiLevelType w:val="hybridMultilevel"/>
    <w:tmpl w:val="5A389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295FB0"/>
    <w:multiLevelType w:val="hybridMultilevel"/>
    <w:tmpl w:val="68C02B5A"/>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744DBC"/>
    <w:multiLevelType w:val="hybridMultilevel"/>
    <w:tmpl w:val="BB7895B2"/>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A8634C"/>
    <w:multiLevelType w:val="hybridMultilevel"/>
    <w:tmpl w:val="8A069316"/>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352339"/>
    <w:multiLevelType w:val="hybridMultilevel"/>
    <w:tmpl w:val="F3C44774"/>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3C4EFA"/>
    <w:multiLevelType w:val="hybridMultilevel"/>
    <w:tmpl w:val="44886CB8"/>
    <w:lvl w:ilvl="0" w:tplc="3BA82E4C">
      <w:start w:val="1"/>
      <w:numFmt w:val="bullet"/>
      <w:lvlText w:val=""/>
      <w:lvlJc w:val="left"/>
      <w:pPr>
        <w:ind w:left="720" w:hanging="360"/>
      </w:pPr>
      <w:rPr>
        <w:rFonts w:ascii="Symbol" w:hAnsi="Symbol" w:hint="default"/>
        <w:lang w:val="ru-RU"/>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2B7857"/>
    <w:multiLevelType w:val="hybridMultilevel"/>
    <w:tmpl w:val="CE6EDE8E"/>
    <w:lvl w:ilvl="0" w:tplc="3BA82E4C">
      <w:start w:val="1"/>
      <w:numFmt w:val="bullet"/>
      <w:lvlText w:val=""/>
      <w:lvlJc w:val="left"/>
      <w:pPr>
        <w:ind w:left="360" w:hanging="360"/>
      </w:pPr>
      <w:rPr>
        <w:rFonts w:ascii="Symbol" w:hAnsi="Symbol" w:hint="default"/>
        <w:lang w:val="ru-RU"/>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C757A92"/>
    <w:multiLevelType w:val="multilevel"/>
    <w:tmpl w:val="F928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13"/>
  </w:num>
  <w:num w:numId="4">
    <w:abstractNumId w:val="10"/>
  </w:num>
  <w:num w:numId="5">
    <w:abstractNumId w:val="2"/>
  </w:num>
  <w:num w:numId="6">
    <w:abstractNumId w:val="7"/>
  </w:num>
  <w:num w:numId="7">
    <w:abstractNumId w:val="1"/>
  </w:num>
  <w:num w:numId="8">
    <w:abstractNumId w:val="4"/>
  </w:num>
  <w:num w:numId="9">
    <w:abstractNumId w:val="11"/>
  </w:num>
  <w:num w:numId="10">
    <w:abstractNumId w:val="0"/>
  </w:num>
  <w:num w:numId="11">
    <w:abstractNumId w:val="5"/>
  </w:num>
  <w:num w:numId="12">
    <w:abstractNumId w:val="8"/>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5A"/>
    <w:rsid w:val="00015F3D"/>
    <w:rsid w:val="000479E0"/>
    <w:rsid w:val="00061D8C"/>
    <w:rsid w:val="00063950"/>
    <w:rsid w:val="000679E0"/>
    <w:rsid w:val="00067C5B"/>
    <w:rsid w:val="00172845"/>
    <w:rsid w:val="0019614E"/>
    <w:rsid w:val="001A380D"/>
    <w:rsid w:val="001C045B"/>
    <w:rsid w:val="00244E99"/>
    <w:rsid w:val="00251A31"/>
    <w:rsid w:val="002803EE"/>
    <w:rsid w:val="002E4627"/>
    <w:rsid w:val="002F6961"/>
    <w:rsid w:val="003346E9"/>
    <w:rsid w:val="0033759A"/>
    <w:rsid w:val="00375113"/>
    <w:rsid w:val="003835A5"/>
    <w:rsid w:val="00396AAD"/>
    <w:rsid w:val="003D536A"/>
    <w:rsid w:val="003D5A84"/>
    <w:rsid w:val="003F3804"/>
    <w:rsid w:val="004453A7"/>
    <w:rsid w:val="004864C5"/>
    <w:rsid w:val="00531ECA"/>
    <w:rsid w:val="00547C7B"/>
    <w:rsid w:val="005A1E35"/>
    <w:rsid w:val="005B1318"/>
    <w:rsid w:val="005C3A7E"/>
    <w:rsid w:val="005D331B"/>
    <w:rsid w:val="005E4EFC"/>
    <w:rsid w:val="006135CC"/>
    <w:rsid w:val="006443C7"/>
    <w:rsid w:val="00652D0C"/>
    <w:rsid w:val="00695A91"/>
    <w:rsid w:val="006E299B"/>
    <w:rsid w:val="006E3E4D"/>
    <w:rsid w:val="006F0547"/>
    <w:rsid w:val="00714A04"/>
    <w:rsid w:val="00761AE4"/>
    <w:rsid w:val="00783B9F"/>
    <w:rsid w:val="00797C4F"/>
    <w:rsid w:val="007D13B9"/>
    <w:rsid w:val="007E2E72"/>
    <w:rsid w:val="00804507"/>
    <w:rsid w:val="008252E7"/>
    <w:rsid w:val="0083268A"/>
    <w:rsid w:val="00896AB3"/>
    <w:rsid w:val="009130C9"/>
    <w:rsid w:val="00926BF6"/>
    <w:rsid w:val="009315E9"/>
    <w:rsid w:val="00975E74"/>
    <w:rsid w:val="009A16F8"/>
    <w:rsid w:val="009E6D4B"/>
    <w:rsid w:val="00A20EB5"/>
    <w:rsid w:val="00A37214"/>
    <w:rsid w:val="00A37B2E"/>
    <w:rsid w:val="00A43F00"/>
    <w:rsid w:val="00A50C32"/>
    <w:rsid w:val="00A56541"/>
    <w:rsid w:val="00A568BA"/>
    <w:rsid w:val="00AE5E55"/>
    <w:rsid w:val="00B07638"/>
    <w:rsid w:val="00B12684"/>
    <w:rsid w:val="00B33FE3"/>
    <w:rsid w:val="00B4653C"/>
    <w:rsid w:val="00B6653C"/>
    <w:rsid w:val="00B7095A"/>
    <w:rsid w:val="00B945AF"/>
    <w:rsid w:val="00C022E7"/>
    <w:rsid w:val="00C174EE"/>
    <w:rsid w:val="00C64164"/>
    <w:rsid w:val="00C75F52"/>
    <w:rsid w:val="00C863BC"/>
    <w:rsid w:val="00CA67E0"/>
    <w:rsid w:val="00CB4273"/>
    <w:rsid w:val="00D20BBF"/>
    <w:rsid w:val="00D53A1A"/>
    <w:rsid w:val="00D84703"/>
    <w:rsid w:val="00E25D82"/>
    <w:rsid w:val="00E4281A"/>
    <w:rsid w:val="00E46C14"/>
    <w:rsid w:val="00E46FE8"/>
    <w:rsid w:val="00E8012B"/>
    <w:rsid w:val="00E86477"/>
    <w:rsid w:val="00EB2CF4"/>
    <w:rsid w:val="00EF28CE"/>
    <w:rsid w:val="00F42648"/>
    <w:rsid w:val="00F817F1"/>
    <w:rsid w:val="00F91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38D"/>
  <w15:chartTrackingRefBased/>
  <w15:docId w15:val="{6D6EDA2B-3A82-4270-8343-A4FE88C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12B"/>
  </w:style>
  <w:style w:type="paragraph" w:styleId="1">
    <w:name w:val="heading 1"/>
    <w:basedOn w:val="a"/>
    <w:next w:val="a"/>
    <w:link w:val="10"/>
    <w:uiPriority w:val="9"/>
    <w:qFormat/>
    <w:rsid w:val="00B70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70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709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709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709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709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09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09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09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09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709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709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709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709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709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095A"/>
    <w:rPr>
      <w:rFonts w:eastAsiaTheme="majorEastAsia" w:cstheme="majorBidi"/>
      <w:color w:val="595959" w:themeColor="text1" w:themeTint="A6"/>
    </w:rPr>
  </w:style>
  <w:style w:type="character" w:customStyle="1" w:styleId="80">
    <w:name w:val="Заголовок 8 Знак"/>
    <w:basedOn w:val="a0"/>
    <w:link w:val="8"/>
    <w:uiPriority w:val="9"/>
    <w:semiHidden/>
    <w:rsid w:val="00B709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095A"/>
    <w:rPr>
      <w:rFonts w:eastAsiaTheme="majorEastAsia" w:cstheme="majorBidi"/>
      <w:color w:val="272727" w:themeColor="text1" w:themeTint="D8"/>
    </w:rPr>
  </w:style>
  <w:style w:type="paragraph" w:styleId="a3">
    <w:name w:val="Title"/>
    <w:basedOn w:val="a"/>
    <w:next w:val="a"/>
    <w:link w:val="a4"/>
    <w:uiPriority w:val="10"/>
    <w:qFormat/>
    <w:rsid w:val="00B70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0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9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09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095A"/>
    <w:pPr>
      <w:spacing w:before="160"/>
      <w:jc w:val="center"/>
    </w:pPr>
    <w:rPr>
      <w:i/>
      <w:iCs/>
      <w:color w:val="404040" w:themeColor="text1" w:themeTint="BF"/>
    </w:rPr>
  </w:style>
  <w:style w:type="character" w:customStyle="1" w:styleId="22">
    <w:name w:val="Цитата 2 Знак"/>
    <w:basedOn w:val="a0"/>
    <w:link w:val="21"/>
    <w:uiPriority w:val="29"/>
    <w:rsid w:val="00B7095A"/>
    <w:rPr>
      <w:i/>
      <w:iCs/>
      <w:color w:val="404040" w:themeColor="text1" w:themeTint="BF"/>
    </w:rPr>
  </w:style>
  <w:style w:type="paragraph" w:styleId="a7">
    <w:name w:val="List Paragraph"/>
    <w:basedOn w:val="a"/>
    <w:uiPriority w:val="34"/>
    <w:qFormat/>
    <w:rsid w:val="00B7095A"/>
    <w:pPr>
      <w:ind w:left="720"/>
      <w:contextualSpacing/>
    </w:pPr>
  </w:style>
  <w:style w:type="character" w:styleId="a8">
    <w:name w:val="Intense Emphasis"/>
    <w:basedOn w:val="a0"/>
    <w:uiPriority w:val="21"/>
    <w:qFormat/>
    <w:rsid w:val="00B7095A"/>
    <w:rPr>
      <w:i/>
      <w:iCs/>
      <w:color w:val="0F4761" w:themeColor="accent1" w:themeShade="BF"/>
    </w:rPr>
  </w:style>
  <w:style w:type="paragraph" w:styleId="a9">
    <w:name w:val="Intense Quote"/>
    <w:basedOn w:val="a"/>
    <w:next w:val="a"/>
    <w:link w:val="aa"/>
    <w:uiPriority w:val="30"/>
    <w:qFormat/>
    <w:rsid w:val="00B70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7095A"/>
    <w:rPr>
      <w:i/>
      <w:iCs/>
      <w:color w:val="0F4761" w:themeColor="accent1" w:themeShade="BF"/>
    </w:rPr>
  </w:style>
  <w:style w:type="character" w:styleId="ab">
    <w:name w:val="Intense Reference"/>
    <w:basedOn w:val="a0"/>
    <w:uiPriority w:val="32"/>
    <w:qFormat/>
    <w:rsid w:val="00B7095A"/>
    <w:rPr>
      <w:b/>
      <w:bCs/>
      <w:smallCaps/>
      <w:color w:val="0F4761" w:themeColor="accent1" w:themeShade="BF"/>
      <w:spacing w:val="5"/>
    </w:rPr>
  </w:style>
  <w:style w:type="paragraph" w:styleId="ac">
    <w:name w:val="footnote text"/>
    <w:basedOn w:val="a"/>
    <w:link w:val="ad"/>
    <w:uiPriority w:val="99"/>
    <w:semiHidden/>
    <w:unhideWhenUsed/>
    <w:rsid w:val="00172845"/>
    <w:pPr>
      <w:spacing w:after="0" w:line="240" w:lineRule="auto"/>
    </w:pPr>
    <w:rPr>
      <w:sz w:val="20"/>
      <w:szCs w:val="20"/>
    </w:rPr>
  </w:style>
  <w:style w:type="character" w:customStyle="1" w:styleId="ad">
    <w:name w:val="Текст сноски Знак"/>
    <w:basedOn w:val="a0"/>
    <w:link w:val="ac"/>
    <w:uiPriority w:val="99"/>
    <w:semiHidden/>
    <w:rsid w:val="00172845"/>
    <w:rPr>
      <w:sz w:val="20"/>
      <w:szCs w:val="20"/>
    </w:rPr>
  </w:style>
  <w:style w:type="character" w:styleId="ae">
    <w:name w:val="footnote reference"/>
    <w:basedOn w:val="a0"/>
    <w:uiPriority w:val="99"/>
    <w:semiHidden/>
    <w:unhideWhenUsed/>
    <w:rsid w:val="00172845"/>
    <w:rPr>
      <w:vertAlign w:val="superscript"/>
    </w:rPr>
  </w:style>
  <w:style w:type="character" w:styleId="af">
    <w:name w:val="Hyperlink"/>
    <w:basedOn w:val="a0"/>
    <w:uiPriority w:val="99"/>
    <w:unhideWhenUsed/>
    <w:rsid w:val="00172845"/>
    <w:rPr>
      <w:color w:val="467886" w:themeColor="hyperlink"/>
      <w:u w:val="single"/>
    </w:rPr>
  </w:style>
  <w:style w:type="character" w:customStyle="1" w:styleId="11">
    <w:name w:val="Неразрешенное упоминание1"/>
    <w:basedOn w:val="a0"/>
    <w:uiPriority w:val="99"/>
    <w:semiHidden/>
    <w:unhideWhenUsed/>
    <w:rsid w:val="00172845"/>
    <w:rPr>
      <w:color w:val="605E5C"/>
      <w:shd w:val="clear" w:color="auto" w:fill="E1DFDD"/>
    </w:rPr>
  </w:style>
  <w:style w:type="paragraph" w:styleId="af0">
    <w:name w:val="No Spacing"/>
    <w:link w:val="af1"/>
    <w:uiPriority w:val="1"/>
    <w:qFormat/>
    <w:rsid w:val="00926BF6"/>
    <w:pPr>
      <w:spacing w:after="0" w:line="240" w:lineRule="auto"/>
    </w:pPr>
    <w:rPr>
      <w:rFonts w:eastAsiaTheme="minorEastAsia"/>
      <w:kern w:val="0"/>
      <w:sz w:val="22"/>
      <w:szCs w:val="22"/>
      <w:lang w:eastAsia="fr-FR"/>
      <w14:ligatures w14:val="none"/>
    </w:rPr>
  </w:style>
  <w:style w:type="character" w:customStyle="1" w:styleId="af1">
    <w:name w:val="Без интервала Знак"/>
    <w:basedOn w:val="a0"/>
    <w:link w:val="af0"/>
    <w:uiPriority w:val="1"/>
    <w:rsid w:val="00926BF6"/>
    <w:rPr>
      <w:rFonts w:eastAsiaTheme="minorEastAsia"/>
      <w:kern w:val="0"/>
      <w:sz w:val="22"/>
      <w:szCs w:val="22"/>
      <w:lang w:eastAsia="fr-FR"/>
      <w14:ligatures w14:val="none"/>
    </w:rPr>
  </w:style>
  <w:style w:type="paragraph" w:styleId="af2">
    <w:name w:val="TOC Heading"/>
    <w:basedOn w:val="1"/>
    <w:next w:val="a"/>
    <w:uiPriority w:val="39"/>
    <w:unhideWhenUsed/>
    <w:qFormat/>
    <w:rsid w:val="00926BF6"/>
    <w:pPr>
      <w:spacing w:before="240" w:after="0" w:line="259" w:lineRule="auto"/>
      <w:outlineLvl w:val="9"/>
    </w:pPr>
    <w:rPr>
      <w:kern w:val="0"/>
      <w:sz w:val="32"/>
      <w:szCs w:val="32"/>
      <w:lang w:eastAsia="fr-FR"/>
      <w14:ligatures w14:val="none"/>
    </w:rPr>
  </w:style>
  <w:style w:type="paragraph" w:styleId="12">
    <w:name w:val="toc 1"/>
    <w:basedOn w:val="a"/>
    <w:next w:val="a"/>
    <w:autoRedefine/>
    <w:uiPriority w:val="39"/>
    <w:unhideWhenUsed/>
    <w:rsid w:val="00926BF6"/>
    <w:pPr>
      <w:spacing w:after="100"/>
    </w:pPr>
  </w:style>
  <w:style w:type="paragraph" w:styleId="23">
    <w:name w:val="toc 2"/>
    <w:basedOn w:val="a"/>
    <w:next w:val="a"/>
    <w:autoRedefine/>
    <w:uiPriority w:val="39"/>
    <w:unhideWhenUsed/>
    <w:rsid w:val="005B1318"/>
    <w:pPr>
      <w:spacing w:after="100"/>
      <w:ind w:left="240"/>
    </w:pPr>
  </w:style>
  <w:style w:type="paragraph" w:customStyle="1" w:styleId="s16">
    <w:name w:val="s_16"/>
    <w:basedOn w:val="a"/>
    <w:rsid w:val="00C75F5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f3">
    <w:name w:val="FollowedHyperlink"/>
    <w:basedOn w:val="a0"/>
    <w:uiPriority w:val="99"/>
    <w:semiHidden/>
    <w:unhideWhenUsed/>
    <w:rsid w:val="00A568BA"/>
    <w:rPr>
      <w:color w:val="96607D" w:themeColor="followedHyperlink"/>
      <w:u w:val="single"/>
    </w:rPr>
  </w:style>
  <w:style w:type="paragraph" w:styleId="af4">
    <w:name w:val="header"/>
    <w:basedOn w:val="a"/>
    <w:link w:val="af5"/>
    <w:uiPriority w:val="99"/>
    <w:unhideWhenUsed/>
    <w:rsid w:val="005D331B"/>
    <w:pPr>
      <w:tabs>
        <w:tab w:val="center" w:pos="4536"/>
        <w:tab w:val="right" w:pos="9072"/>
      </w:tabs>
      <w:spacing w:after="0" w:line="240" w:lineRule="auto"/>
    </w:pPr>
  </w:style>
  <w:style w:type="character" w:customStyle="1" w:styleId="af5">
    <w:name w:val="Верхний колонтитул Знак"/>
    <w:basedOn w:val="a0"/>
    <w:link w:val="af4"/>
    <w:uiPriority w:val="99"/>
    <w:rsid w:val="005D331B"/>
  </w:style>
  <w:style w:type="paragraph" w:styleId="af6">
    <w:name w:val="footer"/>
    <w:basedOn w:val="a"/>
    <w:link w:val="af7"/>
    <w:uiPriority w:val="99"/>
    <w:unhideWhenUsed/>
    <w:rsid w:val="005D331B"/>
    <w:pPr>
      <w:tabs>
        <w:tab w:val="center" w:pos="4536"/>
        <w:tab w:val="right" w:pos="9072"/>
      </w:tabs>
      <w:spacing w:after="0" w:line="240" w:lineRule="auto"/>
    </w:pPr>
  </w:style>
  <w:style w:type="character" w:customStyle="1" w:styleId="af7">
    <w:name w:val="Нижний колонтитул Знак"/>
    <w:basedOn w:val="a0"/>
    <w:link w:val="af6"/>
    <w:uiPriority w:val="99"/>
    <w:rsid w:val="005D331B"/>
  </w:style>
  <w:style w:type="paragraph" w:styleId="af8">
    <w:name w:val="Normal (Web)"/>
    <w:basedOn w:val="a"/>
    <w:uiPriority w:val="99"/>
    <w:semiHidden/>
    <w:unhideWhenUsed/>
    <w:rsid w:val="00E46C14"/>
    <w:rPr>
      <w:rFonts w:ascii="Times New Roman" w:hAnsi="Times New Roman" w:cs="Times New Roman"/>
    </w:rPr>
  </w:style>
  <w:style w:type="character" w:styleId="af9">
    <w:name w:val="annotation reference"/>
    <w:basedOn w:val="a0"/>
    <w:uiPriority w:val="99"/>
    <w:semiHidden/>
    <w:unhideWhenUsed/>
    <w:rsid w:val="00695A91"/>
    <w:rPr>
      <w:sz w:val="16"/>
      <w:szCs w:val="16"/>
    </w:rPr>
  </w:style>
  <w:style w:type="paragraph" w:styleId="afa">
    <w:name w:val="annotation text"/>
    <w:basedOn w:val="a"/>
    <w:link w:val="afb"/>
    <w:uiPriority w:val="99"/>
    <w:unhideWhenUsed/>
    <w:rsid w:val="00695A91"/>
    <w:pPr>
      <w:spacing w:line="240" w:lineRule="auto"/>
    </w:pPr>
    <w:rPr>
      <w:sz w:val="20"/>
      <w:szCs w:val="20"/>
    </w:rPr>
  </w:style>
  <w:style w:type="character" w:customStyle="1" w:styleId="afb">
    <w:name w:val="Текст примечания Знак"/>
    <w:basedOn w:val="a0"/>
    <w:link w:val="afa"/>
    <w:uiPriority w:val="99"/>
    <w:rsid w:val="00695A91"/>
    <w:rPr>
      <w:sz w:val="20"/>
      <w:szCs w:val="20"/>
    </w:rPr>
  </w:style>
  <w:style w:type="paragraph" w:styleId="afc">
    <w:name w:val="annotation subject"/>
    <w:basedOn w:val="afa"/>
    <w:next w:val="afa"/>
    <w:link w:val="afd"/>
    <w:uiPriority w:val="99"/>
    <w:semiHidden/>
    <w:unhideWhenUsed/>
    <w:rsid w:val="00695A91"/>
    <w:rPr>
      <w:b/>
      <w:bCs/>
    </w:rPr>
  </w:style>
  <w:style w:type="character" w:customStyle="1" w:styleId="afd">
    <w:name w:val="Тема примечания Знак"/>
    <w:basedOn w:val="afb"/>
    <w:link w:val="afc"/>
    <w:uiPriority w:val="99"/>
    <w:semiHidden/>
    <w:rsid w:val="00695A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2335">
      <w:bodyDiv w:val="1"/>
      <w:marLeft w:val="0"/>
      <w:marRight w:val="0"/>
      <w:marTop w:val="0"/>
      <w:marBottom w:val="0"/>
      <w:divBdr>
        <w:top w:val="none" w:sz="0" w:space="0" w:color="auto"/>
        <w:left w:val="none" w:sz="0" w:space="0" w:color="auto"/>
        <w:bottom w:val="none" w:sz="0" w:space="0" w:color="auto"/>
        <w:right w:val="none" w:sz="0" w:space="0" w:color="auto"/>
      </w:divBdr>
    </w:div>
    <w:div w:id="81413126">
      <w:bodyDiv w:val="1"/>
      <w:marLeft w:val="0"/>
      <w:marRight w:val="0"/>
      <w:marTop w:val="0"/>
      <w:marBottom w:val="0"/>
      <w:divBdr>
        <w:top w:val="none" w:sz="0" w:space="0" w:color="auto"/>
        <w:left w:val="none" w:sz="0" w:space="0" w:color="auto"/>
        <w:bottom w:val="none" w:sz="0" w:space="0" w:color="auto"/>
        <w:right w:val="none" w:sz="0" w:space="0" w:color="auto"/>
      </w:divBdr>
    </w:div>
    <w:div w:id="82801963">
      <w:bodyDiv w:val="1"/>
      <w:marLeft w:val="0"/>
      <w:marRight w:val="0"/>
      <w:marTop w:val="0"/>
      <w:marBottom w:val="0"/>
      <w:divBdr>
        <w:top w:val="none" w:sz="0" w:space="0" w:color="auto"/>
        <w:left w:val="none" w:sz="0" w:space="0" w:color="auto"/>
        <w:bottom w:val="none" w:sz="0" w:space="0" w:color="auto"/>
        <w:right w:val="none" w:sz="0" w:space="0" w:color="auto"/>
      </w:divBdr>
    </w:div>
    <w:div w:id="108594335">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79010308">
      <w:bodyDiv w:val="1"/>
      <w:marLeft w:val="0"/>
      <w:marRight w:val="0"/>
      <w:marTop w:val="0"/>
      <w:marBottom w:val="0"/>
      <w:divBdr>
        <w:top w:val="none" w:sz="0" w:space="0" w:color="auto"/>
        <w:left w:val="none" w:sz="0" w:space="0" w:color="auto"/>
        <w:bottom w:val="none" w:sz="0" w:space="0" w:color="auto"/>
        <w:right w:val="none" w:sz="0" w:space="0" w:color="auto"/>
      </w:divBdr>
    </w:div>
    <w:div w:id="214044867">
      <w:bodyDiv w:val="1"/>
      <w:marLeft w:val="0"/>
      <w:marRight w:val="0"/>
      <w:marTop w:val="0"/>
      <w:marBottom w:val="0"/>
      <w:divBdr>
        <w:top w:val="none" w:sz="0" w:space="0" w:color="auto"/>
        <w:left w:val="none" w:sz="0" w:space="0" w:color="auto"/>
        <w:bottom w:val="none" w:sz="0" w:space="0" w:color="auto"/>
        <w:right w:val="none" w:sz="0" w:space="0" w:color="auto"/>
      </w:divBdr>
    </w:div>
    <w:div w:id="283469136">
      <w:bodyDiv w:val="1"/>
      <w:marLeft w:val="0"/>
      <w:marRight w:val="0"/>
      <w:marTop w:val="0"/>
      <w:marBottom w:val="0"/>
      <w:divBdr>
        <w:top w:val="none" w:sz="0" w:space="0" w:color="auto"/>
        <w:left w:val="none" w:sz="0" w:space="0" w:color="auto"/>
        <w:bottom w:val="none" w:sz="0" w:space="0" w:color="auto"/>
        <w:right w:val="none" w:sz="0" w:space="0" w:color="auto"/>
      </w:divBdr>
    </w:div>
    <w:div w:id="317078735">
      <w:bodyDiv w:val="1"/>
      <w:marLeft w:val="0"/>
      <w:marRight w:val="0"/>
      <w:marTop w:val="0"/>
      <w:marBottom w:val="0"/>
      <w:divBdr>
        <w:top w:val="none" w:sz="0" w:space="0" w:color="auto"/>
        <w:left w:val="none" w:sz="0" w:space="0" w:color="auto"/>
        <w:bottom w:val="none" w:sz="0" w:space="0" w:color="auto"/>
        <w:right w:val="none" w:sz="0" w:space="0" w:color="auto"/>
      </w:divBdr>
    </w:div>
    <w:div w:id="382367223">
      <w:bodyDiv w:val="1"/>
      <w:marLeft w:val="0"/>
      <w:marRight w:val="0"/>
      <w:marTop w:val="0"/>
      <w:marBottom w:val="0"/>
      <w:divBdr>
        <w:top w:val="none" w:sz="0" w:space="0" w:color="auto"/>
        <w:left w:val="none" w:sz="0" w:space="0" w:color="auto"/>
        <w:bottom w:val="none" w:sz="0" w:space="0" w:color="auto"/>
        <w:right w:val="none" w:sz="0" w:space="0" w:color="auto"/>
      </w:divBdr>
    </w:div>
    <w:div w:id="414977795">
      <w:bodyDiv w:val="1"/>
      <w:marLeft w:val="0"/>
      <w:marRight w:val="0"/>
      <w:marTop w:val="0"/>
      <w:marBottom w:val="0"/>
      <w:divBdr>
        <w:top w:val="none" w:sz="0" w:space="0" w:color="auto"/>
        <w:left w:val="none" w:sz="0" w:space="0" w:color="auto"/>
        <w:bottom w:val="none" w:sz="0" w:space="0" w:color="auto"/>
        <w:right w:val="none" w:sz="0" w:space="0" w:color="auto"/>
      </w:divBdr>
    </w:div>
    <w:div w:id="501701365">
      <w:bodyDiv w:val="1"/>
      <w:marLeft w:val="0"/>
      <w:marRight w:val="0"/>
      <w:marTop w:val="0"/>
      <w:marBottom w:val="0"/>
      <w:divBdr>
        <w:top w:val="none" w:sz="0" w:space="0" w:color="auto"/>
        <w:left w:val="none" w:sz="0" w:space="0" w:color="auto"/>
        <w:bottom w:val="none" w:sz="0" w:space="0" w:color="auto"/>
        <w:right w:val="none" w:sz="0" w:space="0" w:color="auto"/>
      </w:divBdr>
    </w:div>
    <w:div w:id="523904459">
      <w:bodyDiv w:val="1"/>
      <w:marLeft w:val="0"/>
      <w:marRight w:val="0"/>
      <w:marTop w:val="0"/>
      <w:marBottom w:val="0"/>
      <w:divBdr>
        <w:top w:val="none" w:sz="0" w:space="0" w:color="auto"/>
        <w:left w:val="none" w:sz="0" w:space="0" w:color="auto"/>
        <w:bottom w:val="none" w:sz="0" w:space="0" w:color="auto"/>
        <w:right w:val="none" w:sz="0" w:space="0" w:color="auto"/>
      </w:divBdr>
    </w:div>
    <w:div w:id="536238640">
      <w:bodyDiv w:val="1"/>
      <w:marLeft w:val="0"/>
      <w:marRight w:val="0"/>
      <w:marTop w:val="0"/>
      <w:marBottom w:val="0"/>
      <w:divBdr>
        <w:top w:val="none" w:sz="0" w:space="0" w:color="auto"/>
        <w:left w:val="none" w:sz="0" w:space="0" w:color="auto"/>
        <w:bottom w:val="none" w:sz="0" w:space="0" w:color="auto"/>
        <w:right w:val="none" w:sz="0" w:space="0" w:color="auto"/>
      </w:divBdr>
      <w:divsChild>
        <w:div w:id="339697374">
          <w:marLeft w:val="0"/>
          <w:marRight w:val="0"/>
          <w:marTop w:val="0"/>
          <w:marBottom w:val="0"/>
          <w:divBdr>
            <w:top w:val="none" w:sz="0" w:space="0" w:color="auto"/>
            <w:left w:val="none" w:sz="0" w:space="0" w:color="auto"/>
            <w:bottom w:val="none" w:sz="0" w:space="0" w:color="auto"/>
            <w:right w:val="none" w:sz="0" w:space="0" w:color="auto"/>
          </w:divBdr>
        </w:div>
      </w:divsChild>
    </w:div>
    <w:div w:id="564492887">
      <w:bodyDiv w:val="1"/>
      <w:marLeft w:val="0"/>
      <w:marRight w:val="0"/>
      <w:marTop w:val="0"/>
      <w:marBottom w:val="0"/>
      <w:divBdr>
        <w:top w:val="none" w:sz="0" w:space="0" w:color="auto"/>
        <w:left w:val="none" w:sz="0" w:space="0" w:color="auto"/>
        <w:bottom w:val="none" w:sz="0" w:space="0" w:color="auto"/>
        <w:right w:val="none" w:sz="0" w:space="0" w:color="auto"/>
      </w:divBdr>
    </w:div>
    <w:div w:id="565380305">
      <w:bodyDiv w:val="1"/>
      <w:marLeft w:val="0"/>
      <w:marRight w:val="0"/>
      <w:marTop w:val="0"/>
      <w:marBottom w:val="0"/>
      <w:divBdr>
        <w:top w:val="none" w:sz="0" w:space="0" w:color="auto"/>
        <w:left w:val="none" w:sz="0" w:space="0" w:color="auto"/>
        <w:bottom w:val="none" w:sz="0" w:space="0" w:color="auto"/>
        <w:right w:val="none" w:sz="0" w:space="0" w:color="auto"/>
      </w:divBdr>
    </w:div>
    <w:div w:id="653025694">
      <w:bodyDiv w:val="1"/>
      <w:marLeft w:val="0"/>
      <w:marRight w:val="0"/>
      <w:marTop w:val="0"/>
      <w:marBottom w:val="0"/>
      <w:divBdr>
        <w:top w:val="none" w:sz="0" w:space="0" w:color="auto"/>
        <w:left w:val="none" w:sz="0" w:space="0" w:color="auto"/>
        <w:bottom w:val="none" w:sz="0" w:space="0" w:color="auto"/>
        <w:right w:val="none" w:sz="0" w:space="0" w:color="auto"/>
      </w:divBdr>
    </w:div>
    <w:div w:id="657610120">
      <w:bodyDiv w:val="1"/>
      <w:marLeft w:val="0"/>
      <w:marRight w:val="0"/>
      <w:marTop w:val="0"/>
      <w:marBottom w:val="0"/>
      <w:divBdr>
        <w:top w:val="none" w:sz="0" w:space="0" w:color="auto"/>
        <w:left w:val="none" w:sz="0" w:space="0" w:color="auto"/>
        <w:bottom w:val="none" w:sz="0" w:space="0" w:color="auto"/>
        <w:right w:val="none" w:sz="0" w:space="0" w:color="auto"/>
      </w:divBdr>
    </w:div>
    <w:div w:id="719743475">
      <w:bodyDiv w:val="1"/>
      <w:marLeft w:val="0"/>
      <w:marRight w:val="0"/>
      <w:marTop w:val="0"/>
      <w:marBottom w:val="0"/>
      <w:divBdr>
        <w:top w:val="none" w:sz="0" w:space="0" w:color="auto"/>
        <w:left w:val="none" w:sz="0" w:space="0" w:color="auto"/>
        <w:bottom w:val="none" w:sz="0" w:space="0" w:color="auto"/>
        <w:right w:val="none" w:sz="0" w:space="0" w:color="auto"/>
      </w:divBdr>
    </w:div>
    <w:div w:id="720323918">
      <w:bodyDiv w:val="1"/>
      <w:marLeft w:val="0"/>
      <w:marRight w:val="0"/>
      <w:marTop w:val="0"/>
      <w:marBottom w:val="0"/>
      <w:divBdr>
        <w:top w:val="none" w:sz="0" w:space="0" w:color="auto"/>
        <w:left w:val="none" w:sz="0" w:space="0" w:color="auto"/>
        <w:bottom w:val="none" w:sz="0" w:space="0" w:color="auto"/>
        <w:right w:val="none" w:sz="0" w:space="0" w:color="auto"/>
      </w:divBdr>
    </w:div>
    <w:div w:id="727805013">
      <w:bodyDiv w:val="1"/>
      <w:marLeft w:val="0"/>
      <w:marRight w:val="0"/>
      <w:marTop w:val="0"/>
      <w:marBottom w:val="0"/>
      <w:divBdr>
        <w:top w:val="none" w:sz="0" w:space="0" w:color="auto"/>
        <w:left w:val="none" w:sz="0" w:space="0" w:color="auto"/>
        <w:bottom w:val="none" w:sz="0" w:space="0" w:color="auto"/>
        <w:right w:val="none" w:sz="0" w:space="0" w:color="auto"/>
      </w:divBdr>
    </w:div>
    <w:div w:id="781802213">
      <w:bodyDiv w:val="1"/>
      <w:marLeft w:val="0"/>
      <w:marRight w:val="0"/>
      <w:marTop w:val="0"/>
      <w:marBottom w:val="0"/>
      <w:divBdr>
        <w:top w:val="none" w:sz="0" w:space="0" w:color="auto"/>
        <w:left w:val="none" w:sz="0" w:space="0" w:color="auto"/>
        <w:bottom w:val="none" w:sz="0" w:space="0" w:color="auto"/>
        <w:right w:val="none" w:sz="0" w:space="0" w:color="auto"/>
      </w:divBdr>
    </w:div>
    <w:div w:id="798189838">
      <w:bodyDiv w:val="1"/>
      <w:marLeft w:val="0"/>
      <w:marRight w:val="0"/>
      <w:marTop w:val="0"/>
      <w:marBottom w:val="0"/>
      <w:divBdr>
        <w:top w:val="none" w:sz="0" w:space="0" w:color="auto"/>
        <w:left w:val="none" w:sz="0" w:space="0" w:color="auto"/>
        <w:bottom w:val="none" w:sz="0" w:space="0" w:color="auto"/>
        <w:right w:val="none" w:sz="0" w:space="0" w:color="auto"/>
      </w:divBdr>
    </w:div>
    <w:div w:id="834228792">
      <w:bodyDiv w:val="1"/>
      <w:marLeft w:val="0"/>
      <w:marRight w:val="0"/>
      <w:marTop w:val="0"/>
      <w:marBottom w:val="0"/>
      <w:divBdr>
        <w:top w:val="none" w:sz="0" w:space="0" w:color="auto"/>
        <w:left w:val="none" w:sz="0" w:space="0" w:color="auto"/>
        <w:bottom w:val="none" w:sz="0" w:space="0" w:color="auto"/>
        <w:right w:val="none" w:sz="0" w:space="0" w:color="auto"/>
      </w:divBdr>
    </w:div>
    <w:div w:id="909926239">
      <w:bodyDiv w:val="1"/>
      <w:marLeft w:val="0"/>
      <w:marRight w:val="0"/>
      <w:marTop w:val="0"/>
      <w:marBottom w:val="0"/>
      <w:divBdr>
        <w:top w:val="none" w:sz="0" w:space="0" w:color="auto"/>
        <w:left w:val="none" w:sz="0" w:space="0" w:color="auto"/>
        <w:bottom w:val="none" w:sz="0" w:space="0" w:color="auto"/>
        <w:right w:val="none" w:sz="0" w:space="0" w:color="auto"/>
      </w:divBdr>
    </w:div>
    <w:div w:id="941378451">
      <w:bodyDiv w:val="1"/>
      <w:marLeft w:val="0"/>
      <w:marRight w:val="0"/>
      <w:marTop w:val="0"/>
      <w:marBottom w:val="0"/>
      <w:divBdr>
        <w:top w:val="none" w:sz="0" w:space="0" w:color="auto"/>
        <w:left w:val="none" w:sz="0" w:space="0" w:color="auto"/>
        <w:bottom w:val="none" w:sz="0" w:space="0" w:color="auto"/>
        <w:right w:val="none" w:sz="0" w:space="0" w:color="auto"/>
      </w:divBdr>
    </w:div>
    <w:div w:id="1162165561">
      <w:bodyDiv w:val="1"/>
      <w:marLeft w:val="0"/>
      <w:marRight w:val="0"/>
      <w:marTop w:val="0"/>
      <w:marBottom w:val="0"/>
      <w:divBdr>
        <w:top w:val="none" w:sz="0" w:space="0" w:color="auto"/>
        <w:left w:val="none" w:sz="0" w:space="0" w:color="auto"/>
        <w:bottom w:val="none" w:sz="0" w:space="0" w:color="auto"/>
        <w:right w:val="none" w:sz="0" w:space="0" w:color="auto"/>
      </w:divBdr>
    </w:div>
    <w:div w:id="1195846940">
      <w:bodyDiv w:val="1"/>
      <w:marLeft w:val="0"/>
      <w:marRight w:val="0"/>
      <w:marTop w:val="0"/>
      <w:marBottom w:val="0"/>
      <w:divBdr>
        <w:top w:val="none" w:sz="0" w:space="0" w:color="auto"/>
        <w:left w:val="none" w:sz="0" w:space="0" w:color="auto"/>
        <w:bottom w:val="none" w:sz="0" w:space="0" w:color="auto"/>
        <w:right w:val="none" w:sz="0" w:space="0" w:color="auto"/>
      </w:divBdr>
    </w:div>
    <w:div w:id="1213737297">
      <w:bodyDiv w:val="1"/>
      <w:marLeft w:val="0"/>
      <w:marRight w:val="0"/>
      <w:marTop w:val="0"/>
      <w:marBottom w:val="0"/>
      <w:divBdr>
        <w:top w:val="none" w:sz="0" w:space="0" w:color="auto"/>
        <w:left w:val="none" w:sz="0" w:space="0" w:color="auto"/>
        <w:bottom w:val="none" w:sz="0" w:space="0" w:color="auto"/>
        <w:right w:val="none" w:sz="0" w:space="0" w:color="auto"/>
      </w:divBdr>
    </w:div>
    <w:div w:id="1359357888">
      <w:bodyDiv w:val="1"/>
      <w:marLeft w:val="0"/>
      <w:marRight w:val="0"/>
      <w:marTop w:val="0"/>
      <w:marBottom w:val="0"/>
      <w:divBdr>
        <w:top w:val="none" w:sz="0" w:space="0" w:color="auto"/>
        <w:left w:val="none" w:sz="0" w:space="0" w:color="auto"/>
        <w:bottom w:val="none" w:sz="0" w:space="0" w:color="auto"/>
        <w:right w:val="none" w:sz="0" w:space="0" w:color="auto"/>
      </w:divBdr>
    </w:div>
    <w:div w:id="1436705150">
      <w:bodyDiv w:val="1"/>
      <w:marLeft w:val="0"/>
      <w:marRight w:val="0"/>
      <w:marTop w:val="0"/>
      <w:marBottom w:val="0"/>
      <w:divBdr>
        <w:top w:val="none" w:sz="0" w:space="0" w:color="auto"/>
        <w:left w:val="none" w:sz="0" w:space="0" w:color="auto"/>
        <w:bottom w:val="none" w:sz="0" w:space="0" w:color="auto"/>
        <w:right w:val="none" w:sz="0" w:space="0" w:color="auto"/>
      </w:divBdr>
    </w:div>
    <w:div w:id="1483693260">
      <w:bodyDiv w:val="1"/>
      <w:marLeft w:val="0"/>
      <w:marRight w:val="0"/>
      <w:marTop w:val="0"/>
      <w:marBottom w:val="0"/>
      <w:divBdr>
        <w:top w:val="none" w:sz="0" w:space="0" w:color="auto"/>
        <w:left w:val="none" w:sz="0" w:space="0" w:color="auto"/>
        <w:bottom w:val="none" w:sz="0" w:space="0" w:color="auto"/>
        <w:right w:val="none" w:sz="0" w:space="0" w:color="auto"/>
      </w:divBdr>
    </w:div>
    <w:div w:id="1496065392">
      <w:bodyDiv w:val="1"/>
      <w:marLeft w:val="0"/>
      <w:marRight w:val="0"/>
      <w:marTop w:val="0"/>
      <w:marBottom w:val="0"/>
      <w:divBdr>
        <w:top w:val="none" w:sz="0" w:space="0" w:color="auto"/>
        <w:left w:val="none" w:sz="0" w:space="0" w:color="auto"/>
        <w:bottom w:val="none" w:sz="0" w:space="0" w:color="auto"/>
        <w:right w:val="none" w:sz="0" w:space="0" w:color="auto"/>
      </w:divBdr>
    </w:div>
    <w:div w:id="1545361771">
      <w:bodyDiv w:val="1"/>
      <w:marLeft w:val="0"/>
      <w:marRight w:val="0"/>
      <w:marTop w:val="0"/>
      <w:marBottom w:val="0"/>
      <w:divBdr>
        <w:top w:val="none" w:sz="0" w:space="0" w:color="auto"/>
        <w:left w:val="none" w:sz="0" w:space="0" w:color="auto"/>
        <w:bottom w:val="none" w:sz="0" w:space="0" w:color="auto"/>
        <w:right w:val="none" w:sz="0" w:space="0" w:color="auto"/>
      </w:divBdr>
    </w:div>
    <w:div w:id="1566381009">
      <w:bodyDiv w:val="1"/>
      <w:marLeft w:val="0"/>
      <w:marRight w:val="0"/>
      <w:marTop w:val="0"/>
      <w:marBottom w:val="0"/>
      <w:divBdr>
        <w:top w:val="none" w:sz="0" w:space="0" w:color="auto"/>
        <w:left w:val="none" w:sz="0" w:space="0" w:color="auto"/>
        <w:bottom w:val="none" w:sz="0" w:space="0" w:color="auto"/>
        <w:right w:val="none" w:sz="0" w:space="0" w:color="auto"/>
      </w:divBdr>
    </w:div>
    <w:div w:id="1702129802">
      <w:bodyDiv w:val="1"/>
      <w:marLeft w:val="0"/>
      <w:marRight w:val="0"/>
      <w:marTop w:val="0"/>
      <w:marBottom w:val="0"/>
      <w:divBdr>
        <w:top w:val="none" w:sz="0" w:space="0" w:color="auto"/>
        <w:left w:val="none" w:sz="0" w:space="0" w:color="auto"/>
        <w:bottom w:val="none" w:sz="0" w:space="0" w:color="auto"/>
        <w:right w:val="none" w:sz="0" w:space="0" w:color="auto"/>
      </w:divBdr>
    </w:div>
    <w:div w:id="1733849018">
      <w:bodyDiv w:val="1"/>
      <w:marLeft w:val="0"/>
      <w:marRight w:val="0"/>
      <w:marTop w:val="0"/>
      <w:marBottom w:val="0"/>
      <w:divBdr>
        <w:top w:val="none" w:sz="0" w:space="0" w:color="auto"/>
        <w:left w:val="none" w:sz="0" w:space="0" w:color="auto"/>
        <w:bottom w:val="none" w:sz="0" w:space="0" w:color="auto"/>
        <w:right w:val="none" w:sz="0" w:space="0" w:color="auto"/>
      </w:divBdr>
    </w:div>
    <w:div w:id="1761290246">
      <w:bodyDiv w:val="1"/>
      <w:marLeft w:val="0"/>
      <w:marRight w:val="0"/>
      <w:marTop w:val="0"/>
      <w:marBottom w:val="0"/>
      <w:divBdr>
        <w:top w:val="none" w:sz="0" w:space="0" w:color="auto"/>
        <w:left w:val="none" w:sz="0" w:space="0" w:color="auto"/>
        <w:bottom w:val="none" w:sz="0" w:space="0" w:color="auto"/>
        <w:right w:val="none" w:sz="0" w:space="0" w:color="auto"/>
      </w:divBdr>
    </w:div>
    <w:div w:id="1763379868">
      <w:bodyDiv w:val="1"/>
      <w:marLeft w:val="0"/>
      <w:marRight w:val="0"/>
      <w:marTop w:val="0"/>
      <w:marBottom w:val="0"/>
      <w:divBdr>
        <w:top w:val="none" w:sz="0" w:space="0" w:color="auto"/>
        <w:left w:val="none" w:sz="0" w:space="0" w:color="auto"/>
        <w:bottom w:val="none" w:sz="0" w:space="0" w:color="auto"/>
        <w:right w:val="none" w:sz="0" w:space="0" w:color="auto"/>
      </w:divBdr>
    </w:div>
    <w:div w:id="1790511026">
      <w:bodyDiv w:val="1"/>
      <w:marLeft w:val="0"/>
      <w:marRight w:val="0"/>
      <w:marTop w:val="0"/>
      <w:marBottom w:val="0"/>
      <w:divBdr>
        <w:top w:val="none" w:sz="0" w:space="0" w:color="auto"/>
        <w:left w:val="none" w:sz="0" w:space="0" w:color="auto"/>
        <w:bottom w:val="none" w:sz="0" w:space="0" w:color="auto"/>
        <w:right w:val="none" w:sz="0" w:space="0" w:color="auto"/>
      </w:divBdr>
    </w:div>
    <w:div w:id="1851986632">
      <w:bodyDiv w:val="1"/>
      <w:marLeft w:val="0"/>
      <w:marRight w:val="0"/>
      <w:marTop w:val="0"/>
      <w:marBottom w:val="0"/>
      <w:divBdr>
        <w:top w:val="none" w:sz="0" w:space="0" w:color="auto"/>
        <w:left w:val="none" w:sz="0" w:space="0" w:color="auto"/>
        <w:bottom w:val="none" w:sz="0" w:space="0" w:color="auto"/>
        <w:right w:val="none" w:sz="0" w:space="0" w:color="auto"/>
      </w:divBdr>
    </w:div>
    <w:div w:id="1872914602">
      <w:bodyDiv w:val="1"/>
      <w:marLeft w:val="0"/>
      <w:marRight w:val="0"/>
      <w:marTop w:val="0"/>
      <w:marBottom w:val="0"/>
      <w:divBdr>
        <w:top w:val="none" w:sz="0" w:space="0" w:color="auto"/>
        <w:left w:val="none" w:sz="0" w:space="0" w:color="auto"/>
        <w:bottom w:val="none" w:sz="0" w:space="0" w:color="auto"/>
        <w:right w:val="none" w:sz="0" w:space="0" w:color="auto"/>
      </w:divBdr>
    </w:div>
    <w:div w:id="1881240366">
      <w:bodyDiv w:val="1"/>
      <w:marLeft w:val="0"/>
      <w:marRight w:val="0"/>
      <w:marTop w:val="0"/>
      <w:marBottom w:val="0"/>
      <w:divBdr>
        <w:top w:val="none" w:sz="0" w:space="0" w:color="auto"/>
        <w:left w:val="none" w:sz="0" w:space="0" w:color="auto"/>
        <w:bottom w:val="none" w:sz="0" w:space="0" w:color="auto"/>
        <w:right w:val="none" w:sz="0" w:space="0" w:color="auto"/>
      </w:divBdr>
    </w:div>
    <w:div w:id="1917089952">
      <w:bodyDiv w:val="1"/>
      <w:marLeft w:val="0"/>
      <w:marRight w:val="0"/>
      <w:marTop w:val="0"/>
      <w:marBottom w:val="0"/>
      <w:divBdr>
        <w:top w:val="none" w:sz="0" w:space="0" w:color="auto"/>
        <w:left w:val="none" w:sz="0" w:space="0" w:color="auto"/>
        <w:bottom w:val="none" w:sz="0" w:space="0" w:color="auto"/>
        <w:right w:val="none" w:sz="0" w:space="0" w:color="auto"/>
      </w:divBdr>
    </w:div>
    <w:div w:id="1931431673">
      <w:bodyDiv w:val="1"/>
      <w:marLeft w:val="0"/>
      <w:marRight w:val="0"/>
      <w:marTop w:val="0"/>
      <w:marBottom w:val="0"/>
      <w:divBdr>
        <w:top w:val="none" w:sz="0" w:space="0" w:color="auto"/>
        <w:left w:val="none" w:sz="0" w:space="0" w:color="auto"/>
        <w:bottom w:val="none" w:sz="0" w:space="0" w:color="auto"/>
        <w:right w:val="none" w:sz="0" w:space="0" w:color="auto"/>
      </w:divBdr>
    </w:div>
    <w:div w:id="1945991849">
      <w:bodyDiv w:val="1"/>
      <w:marLeft w:val="0"/>
      <w:marRight w:val="0"/>
      <w:marTop w:val="0"/>
      <w:marBottom w:val="0"/>
      <w:divBdr>
        <w:top w:val="none" w:sz="0" w:space="0" w:color="auto"/>
        <w:left w:val="none" w:sz="0" w:space="0" w:color="auto"/>
        <w:bottom w:val="none" w:sz="0" w:space="0" w:color="auto"/>
        <w:right w:val="none" w:sz="0" w:space="0" w:color="auto"/>
      </w:divBdr>
    </w:div>
    <w:div w:id="1979140836">
      <w:bodyDiv w:val="1"/>
      <w:marLeft w:val="0"/>
      <w:marRight w:val="0"/>
      <w:marTop w:val="0"/>
      <w:marBottom w:val="0"/>
      <w:divBdr>
        <w:top w:val="none" w:sz="0" w:space="0" w:color="auto"/>
        <w:left w:val="none" w:sz="0" w:space="0" w:color="auto"/>
        <w:bottom w:val="none" w:sz="0" w:space="0" w:color="auto"/>
        <w:right w:val="none" w:sz="0" w:space="0" w:color="auto"/>
      </w:divBdr>
    </w:div>
    <w:div w:id="2034501901">
      <w:bodyDiv w:val="1"/>
      <w:marLeft w:val="0"/>
      <w:marRight w:val="0"/>
      <w:marTop w:val="0"/>
      <w:marBottom w:val="0"/>
      <w:divBdr>
        <w:top w:val="none" w:sz="0" w:space="0" w:color="auto"/>
        <w:left w:val="none" w:sz="0" w:space="0" w:color="auto"/>
        <w:bottom w:val="none" w:sz="0" w:space="0" w:color="auto"/>
        <w:right w:val="none" w:sz="0" w:space="0" w:color="auto"/>
      </w:divBdr>
    </w:div>
    <w:div w:id="2062318001">
      <w:bodyDiv w:val="1"/>
      <w:marLeft w:val="0"/>
      <w:marRight w:val="0"/>
      <w:marTop w:val="0"/>
      <w:marBottom w:val="0"/>
      <w:divBdr>
        <w:top w:val="none" w:sz="0" w:space="0" w:color="auto"/>
        <w:left w:val="none" w:sz="0" w:space="0" w:color="auto"/>
        <w:bottom w:val="none" w:sz="0" w:space="0" w:color="auto"/>
        <w:right w:val="none" w:sz="0" w:space="0" w:color="auto"/>
      </w:divBdr>
    </w:div>
    <w:div w:id="2068676379">
      <w:bodyDiv w:val="1"/>
      <w:marLeft w:val="0"/>
      <w:marRight w:val="0"/>
      <w:marTop w:val="0"/>
      <w:marBottom w:val="0"/>
      <w:divBdr>
        <w:top w:val="none" w:sz="0" w:space="0" w:color="auto"/>
        <w:left w:val="none" w:sz="0" w:space="0" w:color="auto"/>
        <w:bottom w:val="none" w:sz="0" w:space="0" w:color="auto"/>
        <w:right w:val="none" w:sz="0" w:space="0" w:color="auto"/>
      </w:divBdr>
      <w:divsChild>
        <w:div w:id="255864812">
          <w:marLeft w:val="0"/>
          <w:marRight w:val="0"/>
          <w:marTop w:val="0"/>
          <w:marBottom w:val="0"/>
          <w:divBdr>
            <w:top w:val="none" w:sz="0" w:space="0" w:color="auto"/>
            <w:left w:val="none" w:sz="0" w:space="0" w:color="auto"/>
            <w:bottom w:val="none" w:sz="0" w:space="0" w:color="auto"/>
            <w:right w:val="none" w:sz="0" w:space="0" w:color="auto"/>
          </w:divBdr>
        </w:div>
      </w:divsChild>
    </w:div>
    <w:div w:id="2077581918">
      <w:bodyDiv w:val="1"/>
      <w:marLeft w:val="0"/>
      <w:marRight w:val="0"/>
      <w:marTop w:val="0"/>
      <w:marBottom w:val="0"/>
      <w:divBdr>
        <w:top w:val="none" w:sz="0" w:space="0" w:color="auto"/>
        <w:left w:val="none" w:sz="0" w:space="0" w:color="auto"/>
        <w:bottom w:val="none" w:sz="0" w:space="0" w:color="auto"/>
        <w:right w:val="none" w:sz="0" w:space="0" w:color="auto"/>
      </w:divBdr>
    </w:div>
    <w:div w:id="2078554713">
      <w:bodyDiv w:val="1"/>
      <w:marLeft w:val="0"/>
      <w:marRight w:val="0"/>
      <w:marTop w:val="0"/>
      <w:marBottom w:val="0"/>
      <w:divBdr>
        <w:top w:val="none" w:sz="0" w:space="0" w:color="auto"/>
        <w:left w:val="none" w:sz="0" w:space="0" w:color="auto"/>
        <w:bottom w:val="none" w:sz="0" w:space="0" w:color="auto"/>
        <w:right w:val="none" w:sz="0" w:space="0" w:color="auto"/>
      </w:divBdr>
    </w:div>
    <w:div w:id="21303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b5f.xn--p1ai/investoram/zelenye-obligatsii/" TargetMode="External"/><Relationship Id="rId13" Type="http://schemas.openxmlformats.org/officeDocument/2006/relationships/hyperlink" Target="https://eabr.org/upload/iblock/724/ESG-Bonds_04.10.2021_3_rus.cleaned.pdf" TargetMode="External"/><Relationship Id="rId18" Type="http://schemas.openxmlformats.org/officeDocument/2006/relationships/hyperlink" Target="https://finance.ec.europa.eu/sustainable-finance/tools-and-standards/eu-taxonomy-sustainable-activities_en" TargetMode="External"/><Relationship Id="rId3" Type="http://schemas.openxmlformats.org/officeDocument/2006/relationships/styles" Target="styles.xml"/><Relationship Id="rId21" Type="http://schemas.openxmlformats.org/officeDocument/2006/relationships/hyperlink" Target="https://www.usgbc.org/leed" TargetMode="External"/><Relationship Id="rId7" Type="http://schemas.openxmlformats.org/officeDocument/2006/relationships/endnotes" Target="endnotes.xml"/><Relationship Id="rId12" Type="http://schemas.openxmlformats.org/officeDocument/2006/relationships/hyperlink" Target="https://bondguide.moex.com/articles/bond-preparation-process/42" TargetMode="External"/><Relationship Id="rId17" Type="http://schemas.openxmlformats.org/officeDocument/2006/relationships/hyperlink" Target="https://www.globalreporting.org/standar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limatebonds.net/climate-bonds-standard-v42" TargetMode="External"/><Relationship Id="rId20" Type="http://schemas.openxmlformats.org/officeDocument/2006/relationships/hyperlink" Target="https://www.icmagroup.org/assets/documents/sustainable-finance/2022-updates/harmonised-framework-for-impact-reporting-green-bonds_june-2022-2806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eaeunion.org/upload/medialibrary/fbf/avdqxnky1ryap880n9fh90rg550y0gf4/Kriterii-dlya-opublikovaniya-_Modelnaya-taksonomiya_-17.04.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breeam.com/" TargetMode="External"/><Relationship Id="rId23" Type="http://schemas.openxmlformats.org/officeDocument/2006/relationships/fontTable" Target="fontTable.xml"/><Relationship Id="rId10" Type="http://schemas.openxmlformats.org/officeDocument/2006/relationships/hyperlink" Target="https://economy.gov.by/ru/nac_plan-ru/" TargetMode="External"/><Relationship Id="rId19" Type="http://schemas.openxmlformats.org/officeDocument/2006/relationships/hyperlink" Target="https://www.icmagroup.org/sustainable-finance/the-principles-guidelines-and-handbooks/green-bond-principles-gbp/" TargetMode="External"/><Relationship Id="rId4" Type="http://schemas.openxmlformats.org/officeDocument/2006/relationships/settings" Target="settings.xml"/><Relationship Id="rId9" Type="http://schemas.openxmlformats.org/officeDocument/2006/relationships/hyperlink" Target="https://veb.ru/ustojchivoe-razvitie/zeljonoe-finansirovanie/metodologiya/" TargetMode="External"/><Relationship Id="rId14" Type="http://schemas.openxmlformats.org/officeDocument/2006/relationships/hyperlink" Target="https://www.climatebonds.ne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ultant.ru/document/cons_doc_LAW_10148/" TargetMode="External"/><Relationship Id="rId7" Type="http://schemas.openxmlformats.org/officeDocument/2006/relationships/hyperlink" Target="https://www.usgbc.org/leed" TargetMode="External"/><Relationship Id="rId2" Type="http://schemas.openxmlformats.org/officeDocument/2006/relationships/hyperlink" Target="https://economy.gov.by/ru/nac_plan-ru/" TargetMode="External"/><Relationship Id="rId1" Type="http://schemas.openxmlformats.org/officeDocument/2006/relationships/hyperlink" Target="https://www.icmagroup.org/sustainable-finance/the-principles-guidelines-and-handbooks/green-bond-principles-gbp/" TargetMode="External"/><Relationship Id="rId6" Type="http://schemas.openxmlformats.org/officeDocument/2006/relationships/hyperlink" Target="https://breeam.com/" TargetMode="External"/><Relationship Id="rId5" Type="http://schemas.openxmlformats.org/officeDocument/2006/relationships/hyperlink" Target="https://finance.ec.europa.eu/sustainable-finance/tools-and-standards/eu-taxonomy-sustainable-activities_en" TargetMode="External"/><Relationship Id="rId4" Type="http://schemas.openxmlformats.org/officeDocument/2006/relationships/hyperlink" Target="https://www.climatebonds.net/standard/the-standar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F68468D244C7389154FF83CCD6D09"/>
        <w:category>
          <w:name w:val="Général"/>
          <w:gallery w:val="placeholder"/>
        </w:category>
        <w:types>
          <w:type w:val="bbPlcHdr"/>
        </w:types>
        <w:behaviors>
          <w:behavior w:val="content"/>
        </w:behaviors>
        <w:guid w:val="{8EABBCFE-7F3E-4D24-8EAB-DEDF682FB86D}"/>
      </w:docPartPr>
      <w:docPartBody>
        <w:p w:rsidR="00EF07BB" w:rsidRDefault="002440AE" w:rsidP="002440AE">
          <w:pPr>
            <w:pStyle w:val="B52F68468D244C7389154FF83CCD6D09"/>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AE"/>
    <w:rsid w:val="00172AEC"/>
    <w:rsid w:val="002440AE"/>
    <w:rsid w:val="00324211"/>
    <w:rsid w:val="0056479F"/>
    <w:rsid w:val="006E299B"/>
    <w:rsid w:val="00714A04"/>
    <w:rsid w:val="00DA6D78"/>
    <w:rsid w:val="00E74A25"/>
    <w:rsid w:val="00EA6E77"/>
    <w:rsid w:val="00EF07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2F68468D244C7389154FF83CCD6D09">
    <w:name w:val="B52F68468D244C7389154FF83CCD6D09"/>
    <w:rsid w:val="00244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43CB6-F8B6-4180-BEAD-365DFF46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6674</Words>
  <Characters>38043</Characters>
  <Application>Microsoft Office Word</Application>
  <DocSecurity>0</DocSecurity>
  <Lines>317</Lines>
  <Paragraphs>89</Paragraphs>
  <ScaleCrop>false</ScaleCrop>
  <HeadingPairs>
    <vt:vector size="6" baseType="variant">
      <vt:variant>
        <vt:lpstr>Название</vt:lpstr>
      </vt:variant>
      <vt:variant>
        <vt:i4>1</vt:i4>
      </vt:variant>
      <vt:variant>
        <vt:lpstr>Заголовки</vt:lpstr>
      </vt:variant>
      <vt:variant>
        <vt:i4>12</vt:i4>
      </vt:variant>
      <vt:variant>
        <vt:lpstr>Titre</vt:lpstr>
      </vt:variant>
      <vt:variant>
        <vt:i4>1</vt:i4>
      </vt:variant>
    </vt:vector>
  </HeadingPairs>
  <TitlesOfParts>
    <vt:vector size="14" baseType="lpstr">
      <vt:lpstr>Практические рекомендации по ведению учета использования средств, привлеченных от размещения государственных зеленых облигаций Республики Беларусь для целей энергосбережения</vt:lpstr>
      <vt:lpstr>Введение</vt:lpstr>
      <vt:lpstr>1. Нормативно-правовая база по регулированию зеленых облигаций</vt:lpstr>
      <vt:lpstr>2. Использование средств от размещения зеленых облигаций: механизмы, требования </vt:lpstr>
      <vt:lpstr>3. Механизмы учета и отчетности по зеленым облигациям</vt:lpstr>
      <vt:lpstr>    3.1. Внутренние процедуры бухгалтерского учета</vt:lpstr>
      <vt:lpstr>    3.2. Внешняя отчетность, прозрачность и публичное раскрытие информации </vt:lpstr>
      <vt:lpstr>4. Погашение облигационного займа</vt:lpstr>
      <vt:lpstr>    4.1. Организация механизмов погашения</vt:lpstr>
      <vt:lpstr>    4.2. Организация ликвидности для погашения</vt:lpstr>
      <vt:lpstr>    4.3. Юридические обязательства и коммуникация с инвесторами</vt:lpstr>
      <vt:lpstr>5. Мониторинг и соблюдение требований</vt:lpstr>
      <vt:lpstr>Ссылки</vt:lpstr>
      <vt:lpstr>Практические рекомендации по ведению учета использования средств, привлеченных от размещения государственных зеленых облигаций Республики Беларусь для целей энергосбережения</vt:lpstr>
    </vt:vector>
  </TitlesOfParts>
  <Company/>
  <LinksUpToDate>false</LinksUpToDate>
  <CharactersWithSpaces>44628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Практические рекомендации по ведению учета использования средств, привлеченных от размещения государственных зеленых облигаций Республики Беларусь для целей энергосбережения</dc:title>
  <dc:subject/>
  <dc:creator>George SAFONOV</dc:creator>
  <cp:keywords/>
  <dc:description/>
  <cp:lastModifiedBy>Вячеслав Санников</cp:lastModifiedBy>
  <cp:revision>2</cp:revision>
  <dcterms:created xsi:type="dcterms:W3CDTF">2025-09-24T11:46:00Z</dcterms:created>
  <dcterms:modified xsi:type="dcterms:W3CDTF">2025-09-24T11:46:00Z</dcterms:modified>
</cp:coreProperties>
</file>