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38D66" w14:textId="77777777" w:rsidR="00926BF6" w:rsidRDefault="00926BF6" w:rsidP="002C54B2">
      <w:pPr>
        <w:spacing w:line="360" w:lineRule="auto"/>
        <w:jc w:val="both"/>
        <w:rPr>
          <w:b/>
          <w:bCs/>
          <w:lang w:val="en-GB"/>
        </w:rPr>
      </w:pPr>
      <w:bookmarkStart w:id="0" w:name="_GoBack"/>
      <w:bookmarkEnd w:id="0"/>
    </w:p>
    <w:sdt>
      <w:sdtPr>
        <w:id w:val="-556016264"/>
        <w:docPartObj>
          <w:docPartGallery w:val="Cover Pages"/>
          <w:docPartUnique/>
        </w:docPartObj>
      </w:sdtPr>
      <w:sdtEndPr>
        <w:rPr>
          <w:b/>
          <w:bCs/>
          <w:sz w:val="28"/>
          <w:szCs w:val="28"/>
          <w:lang w:val="ru-RU"/>
        </w:rPr>
      </w:sdtEndPr>
      <w:sdtContent>
        <w:p w14:paraId="31C4305D" w14:textId="77777777" w:rsidR="00926BF6" w:rsidRDefault="00926BF6" w:rsidP="002C54B2">
          <w:pPr>
            <w:spacing w:line="360" w:lineRule="auto"/>
            <w:jc w:val="both"/>
          </w:pP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246"/>
          </w:tblGrid>
          <w:tr w:rsidR="00926BF6" w14:paraId="23E57DB4" w14:textId="77777777" w:rsidTr="00A91160">
            <w:tc>
              <w:tcPr>
                <w:tcW w:w="7672" w:type="dxa"/>
                <w:tcMar>
                  <w:top w:w="216" w:type="dxa"/>
                  <w:left w:w="115" w:type="dxa"/>
                  <w:bottom w:w="216" w:type="dxa"/>
                  <w:right w:w="115" w:type="dxa"/>
                </w:tcMar>
              </w:tcPr>
              <w:p w14:paraId="4E801D01" w14:textId="77777777" w:rsidR="00926BF6" w:rsidRDefault="00926BF6" w:rsidP="002C54B2">
                <w:pPr>
                  <w:pStyle w:val="af0"/>
                  <w:spacing w:line="360" w:lineRule="auto"/>
                  <w:jc w:val="both"/>
                  <w:rPr>
                    <w:color w:val="0F4761" w:themeColor="accent1" w:themeShade="BF"/>
                    <w:sz w:val="24"/>
                  </w:rPr>
                </w:pPr>
              </w:p>
            </w:tc>
          </w:tr>
          <w:tr w:rsidR="00926BF6" w:rsidRPr="00D03829" w14:paraId="3DEABC8D" w14:textId="77777777" w:rsidTr="00A91160">
            <w:tc>
              <w:tcPr>
                <w:tcW w:w="7672" w:type="dxa"/>
              </w:tcPr>
              <w:sdt>
                <w:sdtPr>
                  <w:rPr>
                    <w:rFonts w:asciiTheme="majorHAnsi" w:eastAsiaTheme="majorEastAsia" w:hAnsiTheme="majorHAnsi" w:cstheme="majorBidi"/>
                    <w:color w:val="156082" w:themeColor="accent1"/>
                    <w:sz w:val="48"/>
                    <w:szCs w:val="48"/>
                    <w:lang w:val="ru-RU"/>
                  </w:rPr>
                  <w:alias w:val="Titre"/>
                  <w:id w:val="13406919"/>
                  <w:placeholder>
                    <w:docPart w:val="B52F68468D244C7389154FF83CCD6D09"/>
                  </w:placeholder>
                  <w:dataBinding w:prefixMappings="xmlns:ns0='http://schemas.openxmlformats.org/package/2006/metadata/core-properties' xmlns:ns1='http://purl.org/dc/elements/1.1/'" w:xpath="/ns0:coreProperties[1]/ns1:title[1]" w:storeItemID="{6C3C8BC8-F283-45AE-878A-BAB7291924A1}"/>
                  <w:text/>
                </w:sdtPr>
                <w:sdtEndPr/>
                <w:sdtContent>
                  <w:p w14:paraId="36142561" w14:textId="39725449" w:rsidR="00926BF6" w:rsidRPr="00AC695E" w:rsidRDefault="00926BF6" w:rsidP="002C54B2">
                    <w:pPr>
                      <w:pStyle w:val="af0"/>
                      <w:rPr>
                        <w:rFonts w:asciiTheme="majorHAnsi" w:eastAsiaTheme="majorEastAsia" w:hAnsiTheme="majorHAnsi" w:cstheme="majorBidi"/>
                        <w:color w:val="156082" w:themeColor="accent1"/>
                        <w:sz w:val="48"/>
                        <w:szCs w:val="48"/>
                        <w:lang w:val="ru-RU"/>
                      </w:rPr>
                    </w:pPr>
                    <w:r w:rsidRPr="00926BF6">
                      <w:rPr>
                        <w:rFonts w:asciiTheme="majorHAnsi" w:eastAsiaTheme="majorEastAsia" w:hAnsiTheme="majorHAnsi" w:cstheme="majorBidi"/>
                        <w:color w:val="156082" w:themeColor="accent1"/>
                        <w:sz w:val="48"/>
                        <w:szCs w:val="48"/>
                        <w:lang w:val="ru-RU"/>
                      </w:rPr>
                      <w:t>Практические рекомендации по подготовке документации для проектов по повышению энергоэффективности и энергосбережению для финансирования за счет «зеленых» облигаций</w:t>
                    </w:r>
                  </w:p>
                </w:sdtContent>
              </w:sdt>
            </w:tc>
          </w:tr>
          <w:tr w:rsidR="00926BF6" w:rsidRPr="00D03829" w14:paraId="2E55F2E9" w14:textId="77777777" w:rsidTr="00A91160">
            <w:tc>
              <w:tcPr>
                <w:tcW w:w="7672" w:type="dxa"/>
                <w:tcMar>
                  <w:top w:w="216" w:type="dxa"/>
                  <w:left w:w="115" w:type="dxa"/>
                  <w:bottom w:w="216" w:type="dxa"/>
                  <w:right w:w="115" w:type="dxa"/>
                </w:tcMar>
              </w:tcPr>
              <w:p w14:paraId="71503D8B" w14:textId="26551F15" w:rsidR="00926BF6" w:rsidRPr="00EB0E78" w:rsidRDefault="00926BF6" w:rsidP="002C54B2">
                <w:pPr>
                  <w:pStyle w:val="af0"/>
                  <w:spacing w:line="360" w:lineRule="auto"/>
                  <w:jc w:val="both"/>
                  <w:rPr>
                    <w:color w:val="0F4761" w:themeColor="accent1" w:themeShade="BF"/>
                    <w:sz w:val="32"/>
                    <w:szCs w:val="32"/>
                    <w:lang w:val="ru-RU"/>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926BF6" w:rsidRPr="00D03829" w14:paraId="7DF154C9" w14:textId="77777777" w:rsidTr="00A91160">
            <w:tc>
              <w:tcPr>
                <w:tcW w:w="7221" w:type="dxa"/>
                <w:tcMar>
                  <w:top w:w="216" w:type="dxa"/>
                  <w:left w:w="115" w:type="dxa"/>
                  <w:bottom w:w="216" w:type="dxa"/>
                  <w:right w:w="115" w:type="dxa"/>
                </w:tcMar>
              </w:tcPr>
              <w:p w14:paraId="3254A066" w14:textId="77777777" w:rsidR="00926BF6" w:rsidRPr="00AC695E" w:rsidRDefault="00926BF6" w:rsidP="002C54B2">
                <w:pPr>
                  <w:pStyle w:val="af0"/>
                  <w:spacing w:line="360" w:lineRule="auto"/>
                  <w:jc w:val="both"/>
                  <w:rPr>
                    <w:color w:val="156082" w:themeColor="accent1"/>
                    <w:sz w:val="28"/>
                    <w:szCs w:val="28"/>
                    <w:lang w:val="ru-RU"/>
                  </w:rPr>
                </w:pPr>
              </w:p>
              <w:p w14:paraId="4A1F2F6E" w14:textId="77777777" w:rsidR="0022434C" w:rsidRDefault="0022434C" w:rsidP="0022434C">
                <w:pPr>
                  <w:pStyle w:val="af0"/>
                  <w:jc w:val="both"/>
                  <w:rPr>
                    <w:sz w:val="24"/>
                    <w:szCs w:val="24"/>
                    <w:lang w:val="ru-RU"/>
                  </w:rPr>
                </w:pPr>
              </w:p>
              <w:p w14:paraId="3FF95BB5" w14:textId="68E8E828" w:rsidR="0022434C" w:rsidRDefault="0022434C" w:rsidP="0022434C">
                <w:pPr>
                  <w:pStyle w:val="af0"/>
                  <w:jc w:val="both"/>
                  <w:rPr>
                    <w:color w:val="156082" w:themeColor="accent1"/>
                    <w:sz w:val="24"/>
                    <w:szCs w:val="24"/>
                    <w:lang w:val="ru-RU"/>
                  </w:rPr>
                </w:pPr>
                <w:r>
                  <w:rPr>
                    <w:sz w:val="24"/>
                    <w:szCs w:val="24"/>
                    <w:lang w:val="ru-RU"/>
                  </w:rPr>
                  <w:t>Подготовлено в рамках регионального</w:t>
                </w:r>
                <w:r>
                  <w:rPr>
                    <w:sz w:val="24"/>
                    <w:szCs w:val="24"/>
                  </w:rPr>
                  <w:t xml:space="preserve"> проект</w:t>
                </w:r>
                <w:r>
                  <w:rPr>
                    <w:sz w:val="24"/>
                    <w:szCs w:val="24"/>
                    <w:lang w:val="ru-RU"/>
                  </w:rPr>
                  <w:t>а</w:t>
                </w:r>
                <w:r>
                  <w:rPr>
                    <w:sz w:val="24"/>
                    <w:szCs w:val="24"/>
                  </w:rPr>
                  <w:t xml:space="preserve"> «Управление знаниями и наращивание потенциала в рамках партнерства России и ПРООН»</w:t>
                </w:r>
                <w:r>
                  <w:rPr>
                    <w:sz w:val="24"/>
                    <w:szCs w:val="24"/>
                    <w:lang w:val="ru-RU"/>
                  </w:rPr>
                  <w:t>, 2025.</w:t>
                </w:r>
              </w:p>
              <w:p w14:paraId="739A3507" w14:textId="77777777" w:rsidR="00926BF6" w:rsidRPr="00AC695E" w:rsidRDefault="00926BF6" w:rsidP="002C54B2">
                <w:pPr>
                  <w:pStyle w:val="af0"/>
                  <w:spacing w:line="360" w:lineRule="auto"/>
                  <w:jc w:val="both"/>
                  <w:rPr>
                    <w:color w:val="156082" w:themeColor="accent1"/>
                    <w:lang w:val="ru-RU"/>
                  </w:rPr>
                </w:pPr>
              </w:p>
            </w:tc>
          </w:tr>
        </w:tbl>
        <w:p w14:paraId="2E4E9DFA" w14:textId="77777777" w:rsidR="00926BF6" w:rsidRDefault="00926BF6" w:rsidP="002C54B2">
          <w:pPr>
            <w:spacing w:line="360" w:lineRule="auto"/>
            <w:jc w:val="both"/>
            <w:rPr>
              <w:b/>
              <w:bCs/>
              <w:sz w:val="28"/>
              <w:szCs w:val="28"/>
              <w:lang w:val="ru-RU"/>
            </w:rPr>
          </w:pPr>
          <w:r>
            <w:rPr>
              <w:b/>
              <w:bCs/>
              <w:sz w:val="28"/>
              <w:szCs w:val="28"/>
              <w:lang w:val="ru-RU"/>
            </w:rPr>
            <w:br w:type="page"/>
          </w:r>
        </w:p>
      </w:sdtContent>
    </w:sdt>
    <w:sdt>
      <w:sdtPr>
        <w:rPr>
          <w:rFonts w:asciiTheme="minorHAnsi" w:eastAsiaTheme="minorHAnsi" w:hAnsiTheme="minorHAnsi" w:cstheme="minorBidi"/>
          <w:color w:val="auto"/>
          <w:kern w:val="2"/>
          <w:sz w:val="24"/>
          <w:szCs w:val="24"/>
          <w:lang w:eastAsia="en-US"/>
          <w14:ligatures w14:val="standardContextual"/>
        </w:rPr>
        <w:id w:val="-175805693"/>
        <w:docPartObj>
          <w:docPartGallery w:val="Table of Contents"/>
          <w:docPartUnique/>
        </w:docPartObj>
      </w:sdtPr>
      <w:sdtEndPr>
        <w:rPr>
          <w:b/>
          <w:bCs/>
        </w:rPr>
      </w:sdtEndPr>
      <w:sdtContent>
        <w:p w14:paraId="190F5C82" w14:textId="77777777" w:rsidR="00926BF6" w:rsidRPr="00D03829" w:rsidRDefault="00926BF6" w:rsidP="002C54B2">
          <w:pPr>
            <w:pStyle w:val="af2"/>
            <w:spacing w:line="360" w:lineRule="auto"/>
            <w:jc w:val="both"/>
            <w:rPr>
              <w:sz w:val="28"/>
              <w:szCs w:val="28"/>
              <w:lang w:val="ru-RU"/>
            </w:rPr>
          </w:pPr>
          <w:r w:rsidRPr="00D03829">
            <w:rPr>
              <w:sz w:val="28"/>
              <w:szCs w:val="28"/>
              <w:lang w:val="ru-RU"/>
            </w:rPr>
            <w:t>Оглавление</w:t>
          </w:r>
        </w:p>
        <w:p w14:paraId="45208387" w14:textId="1F5C5C50" w:rsidR="00F5636F" w:rsidRDefault="00926BF6">
          <w:pPr>
            <w:pStyle w:val="12"/>
            <w:tabs>
              <w:tab w:val="right" w:leader="dot" w:pos="9062"/>
            </w:tabs>
            <w:rPr>
              <w:rFonts w:eastAsiaTheme="minorEastAsia"/>
              <w:noProof/>
              <w:lang w:eastAsia="fr-FR"/>
            </w:rPr>
          </w:pPr>
          <w:r w:rsidRPr="00D03829">
            <w:rPr>
              <w:sz w:val="22"/>
              <w:szCs w:val="22"/>
            </w:rPr>
            <w:fldChar w:fldCharType="begin"/>
          </w:r>
          <w:r w:rsidRPr="00D03829">
            <w:rPr>
              <w:sz w:val="22"/>
              <w:szCs w:val="22"/>
            </w:rPr>
            <w:instrText xml:space="preserve"> TOC \o "1-3" \h \z \u </w:instrText>
          </w:r>
          <w:r w:rsidRPr="00D03829">
            <w:rPr>
              <w:sz w:val="22"/>
              <w:szCs w:val="22"/>
            </w:rPr>
            <w:fldChar w:fldCharType="separate"/>
          </w:r>
          <w:hyperlink w:anchor="_Toc199748205" w:history="1">
            <w:r w:rsidR="00F5636F" w:rsidRPr="00CB66E2">
              <w:rPr>
                <w:rStyle w:val="af"/>
                <w:noProof/>
                <w:lang w:val="ru-RU"/>
              </w:rPr>
              <w:t>ВВЕДЕНИЕ</w:t>
            </w:r>
            <w:r w:rsidR="00F5636F">
              <w:rPr>
                <w:noProof/>
                <w:webHidden/>
              </w:rPr>
              <w:tab/>
            </w:r>
            <w:r w:rsidR="00F5636F">
              <w:rPr>
                <w:noProof/>
                <w:webHidden/>
              </w:rPr>
              <w:fldChar w:fldCharType="begin"/>
            </w:r>
            <w:r w:rsidR="00F5636F">
              <w:rPr>
                <w:noProof/>
                <w:webHidden/>
              </w:rPr>
              <w:instrText xml:space="preserve"> PAGEREF _Toc199748205 \h </w:instrText>
            </w:r>
            <w:r w:rsidR="00F5636F">
              <w:rPr>
                <w:noProof/>
                <w:webHidden/>
              </w:rPr>
            </w:r>
            <w:r w:rsidR="00F5636F">
              <w:rPr>
                <w:noProof/>
                <w:webHidden/>
              </w:rPr>
              <w:fldChar w:fldCharType="separate"/>
            </w:r>
            <w:r w:rsidR="00F5636F">
              <w:rPr>
                <w:noProof/>
                <w:webHidden/>
              </w:rPr>
              <w:t>3</w:t>
            </w:r>
            <w:r w:rsidR="00F5636F">
              <w:rPr>
                <w:noProof/>
                <w:webHidden/>
              </w:rPr>
              <w:fldChar w:fldCharType="end"/>
            </w:r>
          </w:hyperlink>
        </w:p>
        <w:p w14:paraId="0B62BACC" w14:textId="21CBA94F" w:rsidR="00F5636F" w:rsidRDefault="00FE4892">
          <w:pPr>
            <w:pStyle w:val="12"/>
            <w:tabs>
              <w:tab w:val="right" w:leader="dot" w:pos="9062"/>
            </w:tabs>
            <w:rPr>
              <w:rFonts w:eastAsiaTheme="minorEastAsia"/>
              <w:noProof/>
              <w:lang w:eastAsia="fr-FR"/>
            </w:rPr>
          </w:pPr>
          <w:hyperlink w:anchor="_Toc199748206" w:history="1">
            <w:r w:rsidR="00F5636F" w:rsidRPr="00CB66E2">
              <w:rPr>
                <w:rStyle w:val="af"/>
                <w:noProof/>
                <w:lang w:val="ru-RU"/>
              </w:rPr>
              <w:t>1. ТРЕБОВАНИЯ К «ЗЕЛЕНОМУ» ФИНАНСИРОВАНИЮ ПРОЕКТОВ В РОССИЙСКОЙ ФЕДЕРАЦИИ</w:t>
            </w:r>
            <w:r w:rsidR="00F5636F">
              <w:rPr>
                <w:noProof/>
                <w:webHidden/>
              </w:rPr>
              <w:tab/>
            </w:r>
            <w:r w:rsidR="00F5636F">
              <w:rPr>
                <w:noProof/>
                <w:webHidden/>
              </w:rPr>
              <w:fldChar w:fldCharType="begin"/>
            </w:r>
            <w:r w:rsidR="00F5636F">
              <w:rPr>
                <w:noProof/>
                <w:webHidden/>
              </w:rPr>
              <w:instrText xml:space="preserve"> PAGEREF _Toc199748206 \h </w:instrText>
            </w:r>
            <w:r w:rsidR="00F5636F">
              <w:rPr>
                <w:noProof/>
                <w:webHidden/>
              </w:rPr>
            </w:r>
            <w:r w:rsidR="00F5636F">
              <w:rPr>
                <w:noProof/>
                <w:webHidden/>
              </w:rPr>
              <w:fldChar w:fldCharType="separate"/>
            </w:r>
            <w:r w:rsidR="00F5636F">
              <w:rPr>
                <w:noProof/>
                <w:webHidden/>
              </w:rPr>
              <w:t>4</w:t>
            </w:r>
            <w:r w:rsidR="00F5636F">
              <w:rPr>
                <w:noProof/>
                <w:webHidden/>
              </w:rPr>
              <w:fldChar w:fldCharType="end"/>
            </w:r>
          </w:hyperlink>
        </w:p>
        <w:p w14:paraId="65A4D509" w14:textId="6DBEC4F9" w:rsidR="00F5636F" w:rsidRDefault="00FE4892">
          <w:pPr>
            <w:pStyle w:val="23"/>
            <w:tabs>
              <w:tab w:val="right" w:leader="dot" w:pos="9062"/>
            </w:tabs>
            <w:rPr>
              <w:rFonts w:eastAsiaTheme="minorEastAsia"/>
              <w:noProof/>
              <w:lang w:eastAsia="fr-FR"/>
            </w:rPr>
          </w:pPr>
          <w:hyperlink w:anchor="_Toc199748207" w:history="1">
            <w:r w:rsidR="00F5636F" w:rsidRPr="00CB66E2">
              <w:rPr>
                <w:rStyle w:val="af"/>
                <w:noProof/>
                <w:lang w:val="ru-RU"/>
              </w:rPr>
              <w:t>1.1. ФЕДЕРАЛЬНЫЕ ТРЕБОВАНИЯ</w:t>
            </w:r>
            <w:r w:rsidR="00F5636F">
              <w:rPr>
                <w:noProof/>
                <w:webHidden/>
              </w:rPr>
              <w:tab/>
            </w:r>
            <w:r w:rsidR="00F5636F">
              <w:rPr>
                <w:noProof/>
                <w:webHidden/>
              </w:rPr>
              <w:fldChar w:fldCharType="begin"/>
            </w:r>
            <w:r w:rsidR="00F5636F">
              <w:rPr>
                <w:noProof/>
                <w:webHidden/>
              </w:rPr>
              <w:instrText xml:space="preserve"> PAGEREF _Toc199748207 \h </w:instrText>
            </w:r>
            <w:r w:rsidR="00F5636F">
              <w:rPr>
                <w:noProof/>
                <w:webHidden/>
              </w:rPr>
            </w:r>
            <w:r w:rsidR="00F5636F">
              <w:rPr>
                <w:noProof/>
                <w:webHidden/>
              </w:rPr>
              <w:fldChar w:fldCharType="separate"/>
            </w:r>
            <w:r w:rsidR="00F5636F">
              <w:rPr>
                <w:noProof/>
                <w:webHidden/>
              </w:rPr>
              <w:t>4</w:t>
            </w:r>
            <w:r w:rsidR="00F5636F">
              <w:rPr>
                <w:noProof/>
                <w:webHidden/>
              </w:rPr>
              <w:fldChar w:fldCharType="end"/>
            </w:r>
          </w:hyperlink>
        </w:p>
        <w:p w14:paraId="7F8DAB8F" w14:textId="2D487896" w:rsidR="00F5636F" w:rsidRDefault="00FE4892">
          <w:pPr>
            <w:pStyle w:val="23"/>
            <w:tabs>
              <w:tab w:val="right" w:leader="dot" w:pos="9062"/>
            </w:tabs>
            <w:rPr>
              <w:rFonts w:eastAsiaTheme="minorEastAsia"/>
              <w:noProof/>
              <w:lang w:eastAsia="fr-FR"/>
            </w:rPr>
          </w:pPr>
          <w:hyperlink w:anchor="_Toc199748208" w:history="1">
            <w:r w:rsidR="00F5636F" w:rsidRPr="00CB66E2">
              <w:rPr>
                <w:rStyle w:val="af"/>
                <w:noProof/>
                <w:lang w:val="ru-RU"/>
              </w:rPr>
              <w:t>1.2. ТРЕБОВАНИЯ МОСКОВСКОЙ БИРЖИ</w:t>
            </w:r>
            <w:r w:rsidR="00F5636F">
              <w:rPr>
                <w:noProof/>
                <w:webHidden/>
              </w:rPr>
              <w:tab/>
            </w:r>
            <w:r w:rsidR="00F5636F">
              <w:rPr>
                <w:noProof/>
                <w:webHidden/>
              </w:rPr>
              <w:fldChar w:fldCharType="begin"/>
            </w:r>
            <w:r w:rsidR="00F5636F">
              <w:rPr>
                <w:noProof/>
                <w:webHidden/>
              </w:rPr>
              <w:instrText xml:space="preserve"> PAGEREF _Toc199748208 \h </w:instrText>
            </w:r>
            <w:r w:rsidR="00F5636F">
              <w:rPr>
                <w:noProof/>
                <w:webHidden/>
              </w:rPr>
            </w:r>
            <w:r w:rsidR="00F5636F">
              <w:rPr>
                <w:noProof/>
                <w:webHidden/>
              </w:rPr>
              <w:fldChar w:fldCharType="separate"/>
            </w:r>
            <w:r w:rsidR="00F5636F">
              <w:rPr>
                <w:noProof/>
                <w:webHidden/>
              </w:rPr>
              <w:t>11</w:t>
            </w:r>
            <w:r w:rsidR="00F5636F">
              <w:rPr>
                <w:noProof/>
                <w:webHidden/>
              </w:rPr>
              <w:fldChar w:fldCharType="end"/>
            </w:r>
          </w:hyperlink>
        </w:p>
        <w:p w14:paraId="78FB7F5D" w14:textId="3850C0AD" w:rsidR="00F5636F" w:rsidRDefault="00FE4892">
          <w:pPr>
            <w:pStyle w:val="12"/>
            <w:tabs>
              <w:tab w:val="right" w:leader="dot" w:pos="9062"/>
            </w:tabs>
            <w:rPr>
              <w:rFonts w:eastAsiaTheme="minorEastAsia"/>
              <w:noProof/>
              <w:lang w:eastAsia="fr-FR"/>
            </w:rPr>
          </w:pPr>
          <w:hyperlink w:anchor="_Toc199748209" w:history="1">
            <w:r w:rsidR="00F5636F" w:rsidRPr="00CB66E2">
              <w:rPr>
                <w:rStyle w:val="af"/>
                <w:noProof/>
                <w:lang w:val="ru-RU"/>
              </w:rPr>
              <w:t>2. «ЗЕЛЕНАЯ» ТАКСОНОМИЯ ПРОЕКТОВ ПО МЕХАНИЗМАМ «ЗЕЛЕНОГО» ФИНАНСИРОВАНИЯ В РЕСПУБЛИКЕ КАЗАХСТАН</w:t>
            </w:r>
            <w:r w:rsidR="00F5636F">
              <w:rPr>
                <w:noProof/>
                <w:webHidden/>
              </w:rPr>
              <w:tab/>
            </w:r>
            <w:r w:rsidR="00F5636F">
              <w:rPr>
                <w:noProof/>
                <w:webHidden/>
              </w:rPr>
              <w:fldChar w:fldCharType="begin"/>
            </w:r>
            <w:r w:rsidR="00F5636F">
              <w:rPr>
                <w:noProof/>
                <w:webHidden/>
              </w:rPr>
              <w:instrText xml:space="preserve"> PAGEREF _Toc199748209 \h </w:instrText>
            </w:r>
            <w:r w:rsidR="00F5636F">
              <w:rPr>
                <w:noProof/>
                <w:webHidden/>
              </w:rPr>
            </w:r>
            <w:r w:rsidR="00F5636F">
              <w:rPr>
                <w:noProof/>
                <w:webHidden/>
              </w:rPr>
              <w:fldChar w:fldCharType="separate"/>
            </w:r>
            <w:r w:rsidR="00F5636F">
              <w:rPr>
                <w:noProof/>
                <w:webHidden/>
              </w:rPr>
              <w:t>13</w:t>
            </w:r>
            <w:r w:rsidR="00F5636F">
              <w:rPr>
                <w:noProof/>
                <w:webHidden/>
              </w:rPr>
              <w:fldChar w:fldCharType="end"/>
            </w:r>
          </w:hyperlink>
        </w:p>
        <w:p w14:paraId="6351FAB5" w14:textId="29BA9454" w:rsidR="00F5636F" w:rsidRDefault="00FE4892">
          <w:pPr>
            <w:pStyle w:val="23"/>
            <w:tabs>
              <w:tab w:val="right" w:leader="dot" w:pos="9062"/>
            </w:tabs>
            <w:rPr>
              <w:rFonts w:eastAsiaTheme="minorEastAsia"/>
              <w:noProof/>
              <w:lang w:eastAsia="fr-FR"/>
            </w:rPr>
          </w:pPr>
          <w:hyperlink w:anchor="_Toc199748210" w:history="1">
            <w:r w:rsidR="00F5636F" w:rsidRPr="00CB66E2">
              <w:rPr>
                <w:rStyle w:val="af"/>
                <w:noProof/>
                <w:lang w:val="ru-RU"/>
              </w:rPr>
              <w:t>2.1. ТРЕБОВАНИЯ НАЦИОНАЛЬНОГО ЗАКОНОДАТЕЛЬСТВА</w:t>
            </w:r>
            <w:r w:rsidR="00F5636F">
              <w:rPr>
                <w:noProof/>
                <w:webHidden/>
              </w:rPr>
              <w:tab/>
            </w:r>
            <w:r w:rsidR="00F5636F">
              <w:rPr>
                <w:noProof/>
                <w:webHidden/>
              </w:rPr>
              <w:fldChar w:fldCharType="begin"/>
            </w:r>
            <w:r w:rsidR="00F5636F">
              <w:rPr>
                <w:noProof/>
                <w:webHidden/>
              </w:rPr>
              <w:instrText xml:space="preserve"> PAGEREF _Toc199748210 \h </w:instrText>
            </w:r>
            <w:r w:rsidR="00F5636F">
              <w:rPr>
                <w:noProof/>
                <w:webHidden/>
              </w:rPr>
            </w:r>
            <w:r w:rsidR="00F5636F">
              <w:rPr>
                <w:noProof/>
                <w:webHidden/>
              </w:rPr>
              <w:fldChar w:fldCharType="separate"/>
            </w:r>
            <w:r w:rsidR="00F5636F">
              <w:rPr>
                <w:noProof/>
                <w:webHidden/>
              </w:rPr>
              <w:t>13</w:t>
            </w:r>
            <w:r w:rsidR="00F5636F">
              <w:rPr>
                <w:noProof/>
                <w:webHidden/>
              </w:rPr>
              <w:fldChar w:fldCharType="end"/>
            </w:r>
          </w:hyperlink>
        </w:p>
        <w:p w14:paraId="5B0BEF8F" w14:textId="23AA6E9B" w:rsidR="00F5636F" w:rsidRDefault="00FE4892">
          <w:pPr>
            <w:pStyle w:val="23"/>
            <w:tabs>
              <w:tab w:val="right" w:leader="dot" w:pos="9062"/>
            </w:tabs>
            <w:rPr>
              <w:rFonts w:eastAsiaTheme="minorEastAsia"/>
              <w:noProof/>
              <w:lang w:eastAsia="fr-FR"/>
            </w:rPr>
          </w:pPr>
          <w:hyperlink w:anchor="_Toc199748211" w:history="1">
            <w:r w:rsidR="00F5636F" w:rsidRPr="00CB66E2">
              <w:rPr>
                <w:rStyle w:val="af"/>
                <w:noProof/>
                <w:lang w:val="ru-RU"/>
              </w:rPr>
              <w:t>2.2. ТРЕБОВАНИЯ БИРЖ КАЗАХСТАНА ПО ВЫПУСКУ «ЗЕЛЕНЫХ» ДОЛГОВЫХ ИНСТРУМЕНТОВ</w:t>
            </w:r>
            <w:r w:rsidR="00F5636F">
              <w:rPr>
                <w:noProof/>
                <w:webHidden/>
              </w:rPr>
              <w:tab/>
            </w:r>
            <w:r w:rsidR="00F5636F">
              <w:rPr>
                <w:noProof/>
                <w:webHidden/>
              </w:rPr>
              <w:fldChar w:fldCharType="begin"/>
            </w:r>
            <w:r w:rsidR="00F5636F">
              <w:rPr>
                <w:noProof/>
                <w:webHidden/>
              </w:rPr>
              <w:instrText xml:space="preserve"> PAGEREF _Toc199748211 \h </w:instrText>
            </w:r>
            <w:r w:rsidR="00F5636F">
              <w:rPr>
                <w:noProof/>
                <w:webHidden/>
              </w:rPr>
            </w:r>
            <w:r w:rsidR="00F5636F">
              <w:rPr>
                <w:noProof/>
                <w:webHidden/>
              </w:rPr>
              <w:fldChar w:fldCharType="separate"/>
            </w:r>
            <w:r w:rsidR="00F5636F">
              <w:rPr>
                <w:noProof/>
                <w:webHidden/>
              </w:rPr>
              <w:t>14</w:t>
            </w:r>
            <w:r w:rsidR="00F5636F">
              <w:rPr>
                <w:noProof/>
                <w:webHidden/>
              </w:rPr>
              <w:fldChar w:fldCharType="end"/>
            </w:r>
          </w:hyperlink>
        </w:p>
        <w:p w14:paraId="73F219D0" w14:textId="2EC26A0F" w:rsidR="00F5636F" w:rsidRDefault="00FE4892">
          <w:pPr>
            <w:pStyle w:val="12"/>
            <w:tabs>
              <w:tab w:val="right" w:leader="dot" w:pos="9062"/>
            </w:tabs>
            <w:rPr>
              <w:rFonts w:eastAsiaTheme="minorEastAsia"/>
              <w:noProof/>
              <w:lang w:eastAsia="fr-FR"/>
            </w:rPr>
          </w:pPr>
          <w:hyperlink w:anchor="_Toc199748212" w:history="1">
            <w:r w:rsidR="00F5636F" w:rsidRPr="00CB66E2">
              <w:rPr>
                <w:rStyle w:val="af"/>
                <w:noProof/>
                <w:lang w:val="ru-RU"/>
              </w:rPr>
              <w:t>3. «ЗЕЛЕНОЕ» ФИНАНСИРОВАНИЕ В ЕВРАЗИЙСКОМ ЭКОНОМИЧЕСКОМ СОЮЗЕ</w:t>
            </w:r>
            <w:r w:rsidR="00F5636F">
              <w:rPr>
                <w:noProof/>
                <w:webHidden/>
              </w:rPr>
              <w:tab/>
            </w:r>
            <w:r w:rsidR="00F5636F">
              <w:rPr>
                <w:noProof/>
                <w:webHidden/>
              </w:rPr>
              <w:fldChar w:fldCharType="begin"/>
            </w:r>
            <w:r w:rsidR="00F5636F">
              <w:rPr>
                <w:noProof/>
                <w:webHidden/>
              </w:rPr>
              <w:instrText xml:space="preserve"> PAGEREF _Toc199748212 \h </w:instrText>
            </w:r>
            <w:r w:rsidR="00F5636F">
              <w:rPr>
                <w:noProof/>
                <w:webHidden/>
              </w:rPr>
            </w:r>
            <w:r w:rsidR="00F5636F">
              <w:rPr>
                <w:noProof/>
                <w:webHidden/>
              </w:rPr>
              <w:fldChar w:fldCharType="separate"/>
            </w:r>
            <w:r w:rsidR="00F5636F">
              <w:rPr>
                <w:noProof/>
                <w:webHidden/>
              </w:rPr>
              <w:t>15</w:t>
            </w:r>
            <w:r w:rsidR="00F5636F">
              <w:rPr>
                <w:noProof/>
                <w:webHidden/>
              </w:rPr>
              <w:fldChar w:fldCharType="end"/>
            </w:r>
          </w:hyperlink>
        </w:p>
        <w:p w14:paraId="29D52ABD" w14:textId="2D918BDF" w:rsidR="00F5636F" w:rsidRDefault="00FE4892">
          <w:pPr>
            <w:pStyle w:val="23"/>
            <w:tabs>
              <w:tab w:val="right" w:leader="dot" w:pos="9062"/>
            </w:tabs>
            <w:rPr>
              <w:rFonts w:eastAsiaTheme="minorEastAsia"/>
              <w:noProof/>
              <w:lang w:eastAsia="fr-FR"/>
            </w:rPr>
          </w:pPr>
          <w:hyperlink w:anchor="_Toc199748213" w:history="1">
            <w:r w:rsidR="00F5636F" w:rsidRPr="00CB66E2">
              <w:rPr>
                <w:rStyle w:val="af"/>
                <w:noProof/>
                <w:lang w:val="ru-RU"/>
              </w:rPr>
              <w:t>3.1. ПОДХОДЫ К ГАРМОНИЗАЦИИ ТРЕБОВАНИЙ К «ЗЕЛЕНОЙ» ТАКСОНОМИИ ПРОЕКТОВ В ЕВРАЗИЙСКОМ ЭКОНОМИЧЕСКОМ СОЮЗЕ</w:t>
            </w:r>
            <w:r w:rsidR="00F5636F">
              <w:rPr>
                <w:noProof/>
                <w:webHidden/>
              </w:rPr>
              <w:tab/>
            </w:r>
            <w:r w:rsidR="00F5636F">
              <w:rPr>
                <w:noProof/>
                <w:webHidden/>
              </w:rPr>
              <w:fldChar w:fldCharType="begin"/>
            </w:r>
            <w:r w:rsidR="00F5636F">
              <w:rPr>
                <w:noProof/>
                <w:webHidden/>
              </w:rPr>
              <w:instrText xml:space="preserve"> PAGEREF _Toc199748213 \h </w:instrText>
            </w:r>
            <w:r w:rsidR="00F5636F">
              <w:rPr>
                <w:noProof/>
                <w:webHidden/>
              </w:rPr>
            </w:r>
            <w:r w:rsidR="00F5636F">
              <w:rPr>
                <w:noProof/>
                <w:webHidden/>
              </w:rPr>
              <w:fldChar w:fldCharType="separate"/>
            </w:r>
            <w:r w:rsidR="00F5636F">
              <w:rPr>
                <w:noProof/>
                <w:webHidden/>
              </w:rPr>
              <w:t>15</w:t>
            </w:r>
            <w:r w:rsidR="00F5636F">
              <w:rPr>
                <w:noProof/>
                <w:webHidden/>
              </w:rPr>
              <w:fldChar w:fldCharType="end"/>
            </w:r>
          </w:hyperlink>
        </w:p>
        <w:p w14:paraId="71D556F8" w14:textId="631D4A93" w:rsidR="00F5636F" w:rsidRDefault="00FE4892">
          <w:pPr>
            <w:pStyle w:val="23"/>
            <w:tabs>
              <w:tab w:val="right" w:leader="dot" w:pos="9062"/>
            </w:tabs>
            <w:rPr>
              <w:rFonts w:eastAsiaTheme="minorEastAsia"/>
              <w:noProof/>
              <w:lang w:eastAsia="fr-FR"/>
            </w:rPr>
          </w:pPr>
          <w:hyperlink w:anchor="_Toc199748214" w:history="1">
            <w:r w:rsidR="00F5636F" w:rsidRPr="00CB66E2">
              <w:rPr>
                <w:rStyle w:val="af"/>
                <w:noProof/>
                <w:lang w:val="ru-RU"/>
              </w:rPr>
              <w:t>3.2. ТРЕБОВАНИЯ ЕВРАЗИЙСКОГО БАНКА РАЗВИТИЯ ПО ВЫПУСКУ «ЗЕЛЕНЫХ» ДОЛГОВЫХ ИНСТРУМЕНТОВ</w:t>
            </w:r>
            <w:r w:rsidR="00F5636F">
              <w:rPr>
                <w:noProof/>
                <w:webHidden/>
              </w:rPr>
              <w:tab/>
            </w:r>
            <w:r w:rsidR="00F5636F">
              <w:rPr>
                <w:noProof/>
                <w:webHidden/>
              </w:rPr>
              <w:fldChar w:fldCharType="begin"/>
            </w:r>
            <w:r w:rsidR="00F5636F">
              <w:rPr>
                <w:noProof/>
                <w:webHidden/>
              </w:rPr>
              <w:instrText xml:space="preserve"> PAGEREF _Toc199748214 \h </w:instrText>
            </w:r>
            <w:r w:rsidR="00F5636F">
              <w:rPr>
                <w:noProof/>
                <w:webHidden/>
              </w:rPr>
            </w:r>
            <w:r w:rsidR="00F5636F">
              <w:rPr>
                <w:noProof/>
                <w:webHidden/>
              </w:rPr>
              <w:fldChar w:fldCharType="separate"/>
            </w:r>
            <w:r w:rsidR="00F5636F">
              <w:rPr>
                <w:noProof/>
                <w:webHidden/>
              </w:rPr>
              <w:t>17</w:t>
            </w:r>
            <w:r w:rsidR="00F5636F">
              <w:rPr>
                <w:noProof/>
                <w:webHidden/>
              </w:rPr>
              <w:fldChar w:fldCharType="end"/>
            </w:r>
          </w:hyperlink>
        </w:p>
        <w:p w14:paraId="20765EC8" w14:textId="3E8CFB82" w:rsidR="00F5636F" w:rsidRDefault="00FE4892">
          <w:pPr>
            <w:pStyle w:val="12"/>
            <w:tabs>
              <w:tab w:val="right" w:leader="dot" w:pos="9062"/>
            </w:tabs>
            <w:rPr>
              <w:rFonts w:eastAsiaTheme="minorEastAsia"/>
              <w:noProof/>
              <w:lang w:eastAsia="fr-FR"/>
            </w:rPr>
          </w:pPr>
          <w:hyperlink w:anchor="_Toc199748215" w:history="1">
            <w:r w:rsidR="00F5636F" w:rsidRPr="00CB66E2">
              <w:rPr>
                <w:rStyle w:val="af"/>
                <w:noProof/>
                <w:lang w:val="ru-RU"/>
              </w:rPr>
              <w:t>ССЫЛКИ</w:t>
            </w:r>
            <w:r w:rsidR="00F5636F">
              <w:rPr>
                <w:noProof/>
                <w:webHidden/>
              </w:rPr>
              <w:tab/>
            </w:r>
            <w:r w:rsidR="00F5636F">
              <w:rPr>
                <w:noProof/>
                <w:webHidden/>
              </w:rPr>
              <w:fldChar w:fldCharType="begin"/>
            </w:r>
            <w:r w:rsidR="00F5636F">
              <w:rPr>
                <w:noProof/>
                <w:webHidden/>
              </w:rPr>
              <w:instrText xml:space="preserve"> PAGEREF _Toc199748215 \h </w:instrText>
            </w:r>
            <w:r w:rsidR="00F5636F">
              <w:rPr>
                <w:noProof/>
                <w:webHidden/>
              </w:rPr>
            </w:r>
            <w:r w:rsidR="00F5636F">
              <w:rPr>
                <w:noProof/>
                <w:webHidden/>
              </w:rPr>
              <w:fldChar w:fldCharType="separate"/>
            </w:r>
            <w:r w:rsidR="00F5636F">
              <w:rPr>
                <w:noProof/>
                <w:webHidden/>
              </w:rPr>
              <w:t>25</w:t>
            </w:r>
            <w:r w:rsidR="00F5636F">
              <w:rPr>
                <w:noProof/>
                <w:webHidden/>
              </w:rPr>
              <w:fldChar w:fldCharType="end"/>
            </w:r>
          </w:hyperlink>
        </w:p>
        <w:p w14:paraId="5B823BA1" w14:textId="781EEDB4" w:rsidR="00926BF6" w:rsidRPr="00D03829" w:rsidRDefault="00926BF6" w:rsidP="002C54B2">
          <w:pPr>
            <w:spacing w:line="360" w:lineRule="auto"/>
            <w:jc w:val="both"/>
          </w:pPr>
          <w:r w:rsidRPr="00D03829">
            <w:rPr>
              <w:b/>
              <w:bCs/>
              <w:sz w:val="22"/>
              <w:szCs w:val="22"/>
            </w:rPr>
            <w:fldChar w:fldCharType="end"/>
          </w:r>
        </w:p>
      </w:sdtContent>
    </w:sdt>
    <w:p w14:paraId="2E3678D7" w14:textId="77777777" w:rsidR="00926BF6" w:rsidRDefault="00926BF6" w:rsidP="002C54B2">
      <w:pPr>
        <w:spacing w:line="360" w:lineRule="auto"/>
        <w:jc w:val="both"/>
        <w:rPr>
          <w:b/>
          <w:bCs/>
          <w:sz w:val="28"/>
          <w:szCs w:val="28"/>
          <w:lang w:val="ru-RU"/>
        </w:rPr>
      </w:pPr>
    </w:p>
    <w:p w14:paraId="7AC6926A" w14:textId="77777777" w:rsidR="00926BF6" w:rsidRPr="00AC695E" w:rsidRDefault="00926BF6" w:rsidP="002C54B2">
      <w:pPr>
        <w:spacing w:line="360" w:lineRule="auto"/>
        <w:jc w:val="both"/>
        <w:rPr>
          <w:b/>
          <w:bCs/>
          <w:sz w:val="28"/>
          <w:szCs w:val="28"/>
          <w:lang w:val="ru-RU"/>
        </w:rPr>
      </w:pPr>
      <w:r w:rsidRPr="00AC695E">
        <w:rPr>
          <w:b/>
          <w:bCs/>
          <w:sz w:val="28"/>
          <w:szCs w:val="28"/>
          <w:lang w:val="ru-RU"/>
        </w:rPr>
        <w:br w:type="page"/>
      </w:r>
    </w:p>
    <w:p w14:paraId="2EEBE332" w14:textId="136013A8" w:rsidR="00926BF6" w:rsidRPr="00B32ECB" w:rsidRDefault="002C54B2" w:rsidP="002C54B2">
      <w:pPr>
        <w:pStyle w:val="1"/>
        <w:spacing w:line="360" w:lineRule="auto"/>
        <w:jc w:val="both"/>
        <w:rPr>
          <w:sz w:val="28"/>
          <w:szCs w:val="28"/>
          <w:lang w:val="ru-RU"/>
        </w:rPr>
      </w:pPr>
      <w:bookmarkStart w:id="1" w:name="_Toc199748205"/>
      <w:r>
        <w:rPr>
          <w:sz w:val="28"/>
          <w:szCs w:val="28"/>
          <w:lang w:val="ru-RU"/>
        </w:rPr>
        <w:lastRenderedPageBreak/>
        <w:t>Введение</w:t>
      </w:r>
      <w:bookmarkEnd w:id="1"/>
    </w:p>
    <w:p w14:paraId="462C00E9" w14:textId="77777777" w:rsidR="002C54B2" w:rsidRPr="002C54B2" w:rsidRDefault="002C54B2" w:rsidP="002C54B2">
      <w:pPr>
        <w:spacing w:line="360" w:lineRule="auto"/>
        <w:jc w:val="both"/>
        <w:rPr>
          <w:lang w:val="ru-RU"/>
        </w:rPr>
      </w:pPr>
      <w:r w:rsidRPr="002C54B2">
        <w:rPr>
          <w:lang w:val="ru-RU"/>
        </w:rPr>
        <w:t>В данном руководстве представлены практические рекомендации по подготовке проектной документации для инициатив в области повышения энергоэффективности и энергосбережения, реализуемых на территории Республики Беларусь и предлагаемых к финансированию за счёт средств, привлечённых посредством размещения «зелёных» облигаций. Целью руководства является содействие разработчикам проектов, органам государственной власти, потенциальным инвесторам и иным заинтересованным сторонам в формировании комплексного и соответствующего нормативным требованиям пакета документов, необходимого для верификации и привлечения устойчивого финансирования.</w:t>
      </w:r>
    </w:p>
    <w:p w14:paraId="212BBA4C" w14:textId="77094314" w:rsidR="002C54B2" w:rsidRPr="002C54B2" w:rsidRDefault="002C54B2" w:rsidP="002C54B2">
      <w:pPr>
        <w:spacing w:line="360" w:lineRule="auto"/>
        <w:jc w:val="both"/>
        <w:rPr>
          <w:lang w:val="ru-RU"/>
        </w:rPr>
      </w:pPr>
      <w:r w:rsidRPr="002C54B2">
        <w:rPr>
          <w:lang w:val="ru-RU"/>
        </w:rPr>
        <w:t>Особое внимание в руководстве уделяется описанию критериев и требований к «зелёным» и «адаптационным» (или переходным) проектам, установленных в рамках различных юрисдикций, применимых для привлечения средств в целях устойчивого развития. В частности, рассматриваются положения, закреплённые в нормативно-методических документах Российской Федерации, Республики Казахстан, а также требования, сформулированные Евразийским банком развития (ЕАБР) и применяемые в рамках Евразийского экономического союза</w:t>
      </w:r>
      <w:r w:rsidR="008E5F58">
        <w:rPr>
          <w:lang w:val="ru-RU"/>
        </w:rPr>
        <w:t xml:space="preserve"> (ЕАЭС)</w:t>
      </w:r>
      <w:r w:rsidRPr="002C54B2">
        <w:rPr>
          <w:lang w:val="ru-RU"/>
        </w:rPr>
        <w:t>.</w:t>
      </w:r>
    </w:p>
    <w:p w14:paraId="2596AC4F" w14:textId="77777777" w:rsidR="002C54B2" w:rsidRPr="002C54B2" w:rsidRDefault="002C54B2" w:rsidP="002C54B2">
      <w:pPr>
        <w:spacing w:line="360" w:lineRule="auto"/>
        <w:jc w:val="both"/>
        <w:rPr>
          <w:lang w:val="ru-RU"/>
        </w:rPr>
      </w:pPr>
      <w:r w:rsidRPr="002C54B2">
        <w:rPr>
          <w:lang w:val="ru-RU"/>
        </w:rPr>
        <w:t xml:space="preserve">Данные юрисдикции выбраны в связи с тем, что они являются приоритетными направлениями для трансграничного сотрудничества Республики Беларусь в сфере устойчивого финансирования, а их регуляторные и институциональные механизмы обеспечивают доступ к международным и региональным источникам «зелёного» капитала. Кроме того, эти механизмы обладают высокой степенью совместимости с международными стандартами (в том числе </w:t>
      </w:r>
      <w:r w:rsidRPr="002C54B2">
        <w:t>ICMA</w:t>
      </w:r>
      <w:r w:rsidRPr="002C54B2">
        <w:rPr>
          <w:lang w:val="ru-RU"/>
        </w:rPr>
        <w:t xml:space="preserve">, </w:t>
      </w:r>
      <w:r w:rsidRPr="002C54B2">
        <w:t>GRI</w:t>
      </w:r>
      <w:r w:rsidRPr="002C54B2">
        <w:rPr>
          <w:lang w:val="ru-RU"/>
        </w:rPr>
        <w:t xml:space="preserve">, </w:t>
      </w:r>
      <w:r w:rsidRPr="002C54B2">
        <w:t>CBI</w:t>
      </w:r>
      <w:r w:rsidRPr="002C54B2">
        <w:rPr>
          <w:lang w:val="ru-RU"/>
        </w:rPr>
        <w:t>), что расширяет потенциал интеграции белорусских проектов в глобальные климатические и инвестиционные инициативы.</w:t>
      </w:r>
    </w:p>
    <w:p w14:paraId="4D20E4BD" w14:textId="2B1307B5" w:rsidR="00783B9F" w:rsidRDefault="001231ED" w:rsidP="002C54B2">
      <w:pPr>
        <w:spacing w:line="360" w:lineRule="auto"/>
        <w:jc w:val="both"/>
        <w:rPr>
          <w:lang w:val="ru-RU"/>
        </w:rPr>
      </w:pPr>
      <w:r>
        <w:rPr>
          <w:lang w:val="ru-RU"/>
        </w:rPr>
        <w:t xml:space="preserve">Рекомендации </w:t>
      </w:r>
      <w:r w:rsidR="002C54B2" w:rsidRPr="002C54B2">
        <w:rPr>
          <w:lang w:val="ru-RU"/>
        </w:rPr>
        <w:t>служ</w:t>
      </w:r>
      <w:r>
        <w:rPr>
          <w:lang w:val="ru-RU"/>
        </w:rPr>
        <w:t>а</w:t>
      </w:r>
      <w:r w:rsidR="002C54B2" w:rsidRPr="002C54B2">
        <w:rPr>
          <w:lang w:val="ru-RU"/>
        </w:rPr>
        <w:t>т инструментом для унификации и повышения качества проектной документации, ориентиру</w:t>
      </w:r>
      <w:r w:rsidR="008E5F58">
        <w:rPr>
          <w:lang w:val="ru-RU"/>
        </w:rPr>
        <w:t>ю</w:t>
      </w:r>
      <w:r w:rsidR="002C54B2" w:rsidRPr="002C54B2">
        <w:rPr>
          <w:lang w:val="ru-RU"/>
        </w:rPr>
        <w:t>т участников проектного цикла на соблюдение передовых требований в области устойчивого финансирования.</w:t>
      </w:r>
      <w:r w:rsidR="00783B9F">
        <w:rPr>
          <w:lang w:val="ru-RU"/>
        </w:rPr>
        <w:br w:type="page"/>
      </w:r>
    </w:p>
    <w:p w14:paraId="6ED8DB7F" w14:textId="5E4B3962" w:rsidR="00926BF6" w:rsidRPr="00926BF6" w:rsidRDefault="00975E74" w:rsidP="002C54B2">
      <w:pPr>
        <w:pStyle w:val="1"/>
        <w:spacing w:line="360" w:lineRule="auto"/>
        <w:jc w:val="both"/>
        <w:rPr>
          <w:sz w:val="28"/>
          <w:szCs w:val="28"/>
          <w:lang w:val="ru-RU"/>
        </w:rPr>
      </w:pPr>
      <w:bookmarkStart w:id="2" w:name="_Toc199748206"/>
      <w:r>
        <w:rPr>
          <w:sz w:val="28"/>
          <w:szCs w:val="28"/>
          <w:lang w:val="ru-RU"/>
        </w:rPr>
        <w:lastRenderedPageBreak/>
        <w:t xml:space="preserve">1. </w:t>
      </w:r>
      <w:r w:rsidR="00124F4C">
        <w:rPr>
          <w:sz w:val="28"/>
          <w:szCs w:val="28"/>
          <w:lang w:val="ru-RU"/>
        </w:rPr>
        <w:t xml:space="preserve">Требования к </w:t>
      </w:r>
      <w:r w:rsidR="0017512E">
        <w:rPr>
          <w:sz w:val="28"/>
          <w:szCs w:val="28"/>
          <w:lang w:val="ru-RU"/>
        </w:rPr>
        <w:t>«</w:t>
      </w:r>
      <w:r w:rsidR="00124F4C">
        <w:rPr>
          <w:sz w:val="28"/>
          <w:szCs w:val="28"/>
          <w:lang w:val="ru-RU"/>
        </w:rPr>
        <w:t>з</w:t>
      </w:r>
      <w:r w:rsidR="0017512E">
        <w:rPr>
          <w:sz w:val="28"/>
          <w:szCs w:val="28"/>
          <w:lang w:val="ru-RU"/>
        </w:rPr>
        <w:t>елено</w:t>
      </w:r>
      <w:r w:rsidR="00124F4C">
        <w:rPr>
          <w:sz w:val="28"/>
          <w:szCs w:val="28"/>
          <w:lang w:val="ru-RU"/>
        </w:rPr>
        <w:t>му</w:t>
      </w:r>
      <w:r w:rsidR="0017512E">
        <w:rPr>
          <w:sz w:val="28"/>
          <w:szCs w:val="28"/>
          <w:lang w:val="ru-RU"/>
        </w:rPr>
        <w:t>» финансировани</w:t>
      </w:r>
      <w:r w:rsidR="00124F4C">
        <w:rPr>
          <w:sz w:val="28"/>
          <w:szCs w:val="28"/>
          <w:lang w:val="ru-RU"/>
        </w:rPr>
        <w:t>ю</w:t>
      </w:r>
      <w:r w:rsidR="0017512E">
        <w:rPr>
          <w:sz w:val="28"/>
          <w:szCs w:val="28"/>
          <w:lang w:val="ru-RU"/>
        </w:rPr>
        <w:t xml:space="preserve"> проектов в Российской Федерации</w:t>
      </w:r>
      <w:bookmarkEnd w:id="2"/>
    </w:p>
    <w:p w14:paraId="5014F27F" w14:textId="78E16BAD" w:rsidR="003F3804" w:rsidRPr="003F3804" w:rsidRDefault="003F3804" w:rsidP="002C54B2">
      <w:pPr>
        <w:pStyle w:val="2"/>
        <w:spacing w:line="360" w:lineRule="auto"/>
        <w:jc w:val="both"/>
        <w:rPr>
          <w:sz w:val="24"/>
          <w:szCs w:val="24"/>
          <w:lang w:val="ru-RU"/>
        </w:rPr>
      </w:pPr>
      <w:bookmarkStart w:id="3" w:name="_Toc199748207"/>
      <w:r>
        <w:rPr>
          <w:sz w:val="24"/>
          <w:szCs w:val="24"/>
          <w:lang w:val="ru-RU"/>
        </w:rPr>
        <w:t>1</w:t>
      </w:r>
      <w:r w:rsidRPr="003F3804">
        <w:rPr>
          <w:sz w:val="24"/>
          <w:szCs w:val="24"/>
          <w:lang w:val="ru-RU"/>
        </w:rPr>
        <w:t xml:space="preserve">.1. </w:t>
      </w:r>
      <w:r w:rsidR="00124F4C">
        <w:rPr>
          <w:sz w:val="24"/>
          <w:szCs w:val="24"/>
          <w:lang w:val="ru-RU"/>
        </w:rPr>
        <w:t xml:space="preserve">Федеральные </w:t>
      </w:r>
      <w:r w:rsidR="00124F4C" w:rsidRPr="003F3804">
        <w:rPr>
          <w:sz w:val="24"/>
          <w:szCs w:val="24"/>
          <w:lang w:val="ru-RU"/>
        </w:rPr>
        <w:t>требования</w:t>
      </w:r>
      <w:bookmarkEnd w:id="3"/>
      <w:r w:rsidR="00124F4C" w:rsidRPr="003F3804">
        <w:rPr>
          <w:sz w:val="24"/>
          <w:szCs w:val="24"/>
          <w:lang w:val="ru-RU"/>
        </w:rPr>
        <w:t xml:space="preserve"> </w:t>
      </w:r>
    </w:p>
    <w:p w14:paraId="61CD8F69" w14:textId="246E6346" w:rsidR="00EB2CF4" w:rsidRPr="00EB2CF4" w:rsidRDefault="00EB2CF4" w:rsidP="002C54B2">
      <w:pPr>
        <w:spacing w:line="360" w:lineRule="auto"/>
        <w:jc w:val="both"/>
        <w:rPr>
          <w:lang w:val="ru-RU"/>
        </w:rPr>
      </w:pPr>
      <w:r w:rsidRPr="00EB2CF4">
        <w:rPr>
          <w:lang w:val="ru-RU"/>
        </w:rPr>
        <w:t>В целях развития инвестиционной деятельности и привлечения внебюджетных средств в проекты, направленные на реализацию национальных целей развития Российской Федерации в области зеленого финансирования и устойчивого развития, Правительство</w:t>
      </w:r>
      <w:r>
        <w:rPr>
          <w:lang w:val="ru-RU"/>
        </w:rPr>
        <w:t>м</w:t>
      </w:r>
      <w:r w:rsidRPr="00EB2CF4">
        <w:rPr>
          <w:lang w:val="ru-RU"/>
        </w:rPr>
        <w:t xml:space="preserve"> Российской Федерации </w:t>
      </w:r>
      <w:r>
        <w:rPr>
          <w:lang w:val="ru-RU"/>
        </w:rPr>
        <w:t>утверждены критерии п</w:t>
      </w:r>
      <w:r w:rsidRPr="00EB2CF4">
        <w:rPr>
          <w:lang w:val="ru-RU"/>
        </w:rPr>
        <w:t>роектов устойчивого (в том числе зеленого) развития в Российской Федерации</w:t>
      </w:r>
      <w:r>
        <w:rPr>
          <w:lang w:val="ru-RU"/>
        </w:rPr>
        <w:t xml:space="preserve"> и требования </w:t>
      </w:r>
      <w:r w:rsidRPr="00EB2CF4">
        <w:rPr>
          <w:lang w:val="ru-RU"/>
        </w:rPr>
        <w:t>к системе верификации инструментов финансирования устойчивого развития в Российской Федерации.</w:t>
      </w:r>
      <w:r>
        <w:rPr>
          <w:rStyle w:val="ae"/>
          <w:lang w:val="ru-RU"/>
        </w:rPr>
        <w:footnoteReference w:id="1"/>
      </w:r>
    </w:p>
    <w:p w14:paraId="5C97F2C5" w14:textId="31E98108" w:rsidR="00B7095A" w:rsidRPr="00EB2CF4" w:rsidRDefault="00EB2CF4" w:rsidP="002C54B2">
      <w:pPr>
        <w:spacing w:line="360" w:lineRule="auto"/>
        <w:jc w:val="both"/>
        <w:rPr>
          <w:lang w:val="ru-RU"/>
        </w:rPr>
      </w:pPr>
      <w:r w:rsidRPr="00EB2CF4">
        <w:rPr>
          <w:lang w:val="ru-RU"/>
        </w:rPr>
        <w:t>Критерии</w:t>
      </w:r>
      <w:r>
        <w:rPr>
          <w:lang w:val="ru-RU"/>
        </w:rPr>
        <w:t xml:space="preserve"> определены для трех категорий проектов: </w:t>
      </w:r>
      <w:r w:rsidRPr="00EB2CF4">
        <w:rPr>
          <w:lang w:val="ru-RU"/>
        </w:rPr>
        <w:t>зеленых проектов (таксономия зеленых проектов), критерии адаптационных проектов (таксономия адаптационных проектов) и критерии социальных проектов (таксономия социальных проектов).</w:t>
      </w:r>
    </w:p>
    <w:p w14:paraId="2C7AA44D" w14:textId="6CE5D777" w:rsidR="002803EE" w:rsidRDefault="00652D0C" w:rsidP="002C54B2">
      <w:pPr>
        <w:spacing w:line="360" w:lineRule="auto"/>
        <w:jc w:val="both"/>
        <w:rPr>
          <w:lang w:val="ru-RU"/>
        </w:rPr>
      </w:pPr>
      <w:r>
        <w:rPr>
          <w:lang w:val="ru-RU"/>
        </w:rPr>
        <w:t>В области энергоэффективности и энергосбережения выделены следующие типы проектов:</w:t>
      </w:r>
    </w:p>
    <w:p w14:paraId="7F0BF7D5" w14:textId="512467D8" w:rsidR="00652D0C" w:rsidRPr="00652D0C" w:rsidRDefault="00652D0C" w:rsidP="002C54B2">
      <w:pPr>
        <w:pStyle w:val="a7"/>
        <w:numPr>
          <w:ilvl w:val="0"/>
          <w:numId w:val="1"/>
        </w:numPr>
        <w:spacing w:line="360" w:lineRule="auto"/>
        <w:jc w:val="both"/>
        <w:rPr>
          <w:lang w:val="ru-RU"/>
        </w:rPr>
      </w:pPr>
      <w:r w:rsidRPr="00652D0C">
        <w:rPr>
          <w:lang w:val="ru-RU"/>
        </w:rPr>
        <w:t xml:space="preserve">Создание и модернизация генерирующих объектов и поддерживающей инфраструктуры для генерации энергии на возобновляемых источниках энергии и </w:t>
      </w:r>
      <w:proofErr w:type="spellStart"/>
      <w:r w:rsidRPr="00652D0C">
        <w:rPr>
          <w:lang w:val="ru-RU"/>
        </w:rPr>
        <w:t>низкоуглеродных</w:t>
      </w:r>
      <w:proofErr w:type="spellEnd"/>
      <w:r w:rsidRPr="00652D0C">
        <w:rPr>
          <w:lang w:val="ru-RU"/>
        </w:rPr>
        <w:t xml:space="preserve"> видах топлива</w:t>
      </w:r>
      <w:r w:rsidR="00C75F52">
        <w:rPr>
          <w:lang w:val="ru-RU"/>
        </w:rPr>
        <w:t>;</w:t>
      </w:r>
    </w:p>
    <w:p w14:paraId="1968CFF3" w14:textId="209DF20E" w:rsidR="00652D0C" w:rsidRPr="00652D0C" w:rsidRDefault="00652D0C" w:rsidP="002C54B2">
      <w:pPr>
        <w:pStyle w:val="a7"/>
        <w:numPr>
          <w:ilvl w:val="0"/>
          <w:numId w:val="1"/>
        </w:numPr>
        <w:spacing w:line="360" w:lineRule="auto"/>
        <w:jc w:val="both"/>
        <w:rPr>
          <w:lang w:val="ru-RU"/>
        </w:rPr>
      </w:pPr>
      <w:r w:rsidRPr="00652D0C">
        <w:rPr>
          <w:lang w:val="ru-RU"/>
        </w:rPr>
        <w:t xml:space="preserve">Создание и модернизация инфраструктуры, производство оборудования для производства, хранения и транспортировки </w:t>
      </w:r>
      <w:proofErr w:type="spellStart"/>
      <w:r w:rsidRPr="00652D0C">
        <w:rPr>
          <w:lang w:val="ru-RU"/>
        </w:rPr>
        <w:t>низкоуглеродного</w:t>
      </w:r>
      <w:proofErr w:type="spellEnd"/>
      <w:r w:rsidRPr="00652D0C">
        <w:rPr>
          <w:lang w:val="ru-RU"/>
        </w:rPr>
        <w:t xml:space="preserve"> топлива</w:t>
      </w:r>
      <w:r w:rsidR="00C75F52">
        <w:rPr>
          <w:lang w:val="ru-RU"/>
        </w:rPr>
        <w:t>;</w:t>
      </w:r>
    </w:p>
    <w:p w14:paraId="03E1A59A" w14:textId="670A48E6" w:rsidR="00B12684" w:rsidRDefault="00652D0C" w:rsidP="002C54B2">
      <w:pPr>
        <w:pStyle w:val="a7"/>
        <w:numPr>
          <w:ilvl w:val="0"/>
          <w:numId w:val="1"/>
        </w:numPr>
        <w:spacing w:line="360" w:lineRule="auto"/>
        <w:jc w:val="both"/>
        <w:rPr>
          <w:lang w:val="ru-RU"/>
        </w:rPr>
      </w:pPr>
      <w:r w:rsidRPr="00652D0C">
        <w:rPr>
          <w:lang w:val="ru-RU"/>
        </w:rPr>
        <w:t>Реализация проектов, направленных на повышение энергетической и экологической эффективности объектов энергетики</w:t>
      </w:r>
      <w:r w:rsidR="00C75F52">
        <w:rPr>
          <w:lang w:val="ru-RU"/>
        </w:rPr>
        <w:t>;</w:t>
      </w:r>
    </w:p>
    <w:p w14:paraId="71736665" w14:textId="37F464B5" w:rsidR="00652D0C" w:rsidRDefault="00C75F52" w:rsidP="002C54B2">
      <w:pPr>
        <w:pStyle w:val="a7"/>
        <w:numPr>
          <w:ilvl w:val="0"/>
          <w:numId w:val="1"/>
        </w:numPr>
        <w:spacing w:line="360" w:lineRule="auto"/>
        <w:jc w:val="both"/>
        <w:rPr>
          <w:lang w:val="ru-RU"/>
        </w:rPr>
      </w:pPr>
      <w:r w:rsidRPr="00C75F52">
        <w:rPr>
          <w:lang w:val="ru-RU"/>
        </w:rPr>
        <w:t xml:space="preserve">Производство оборудования или установок для генерации энергии на возобновляемых источниках энергии и </w:t>
      </w:r>
      <w:proofErr w:type="spellStart"/>
      <w:r w:rsidRPr="00C75F52">
        <w:rPr>
          <w:lang w:val="ru-RU"/>
        </w:rPr>
        <w:t>низкоуглеродных</w:t>
      </w:r>
      <w:proofErr w:type="spellEnd"/>
      <w:r w:rsidRPr="00C75F52">
        <w:rPr>
          <w:lang w:val="ru-RU"/>
        </w:rPr>
        <w:t xml:space="preserve"> видах топлива</w:t>
      </w:r>
      <w:r>
        <w:rPr>
          <w:lang w:val="ru-RU"/>
        </w:rPr>
        <w:t>;</w:t>
      </w:r>
    </w:p>
    <w:p w14:paraId="52ED3D79" w14:textId="6107C9DF" w:rsidR="00C75F52" w:rsidRDefault="00C75F52" w:rsidP="002C54B2">
      <w:pPr>
        <w:pStyle w:val="a7"/>
        <w:numPr>
          <w:ilvl w:val="0"/>
          <w:numId w:val="1"/>
        </w:numPr>
        <w:spacing w:line="360" w:lineRule="auto"/>
        <w:jc w:val="both"/>
        <w:rPr>
          <w:lang w:val="ru-RU"/>
        </w:rPr>
      </w:pPr>
      <w:r w:rsidRPr="00C75F52">
        <w:rPr>
          <w:lang w:val="ru-RU"/>
        </w:rPr>
        <w:t>Строительство объектов хранения электроэнергии и теплоэнергии</w:t>
      </w:r>
      <w:r>
        <w:rPr>
          <w:lang w:val="ru-RU"/>
        </w:rPr>
        <w:t>;</w:t>
      </w:r>
    </w:p>
    <w:p w14:paraId="21A3B6AB" w14:textId="4078EC24" w:rsidR="00C75F52" w:rsidRPr="00C75F52" w:rsidRDefault="00C75F52" w:rsidP="002C54B2">
      <w:pPr>
        <w:pStyle w:val="a7"/>
        <w:numPr>
          <w:ilvl w:val="0"/>
          <w:numId w:val="1"/>
        </w:numPr>
        <w:spacing w:line="360" w:lineRule="auto"/>
        <w:jc w:val="both"/>
      </w:pPr>
      <w:r w:rsidRPr="00C75F52">
        <w:t>Накопители энергии</w:t>
      </w:r>
      <w:r>
        <w:t>;</w:t>
      </w:r>
    </w:p>
    <w:p w14:paraId="4ADF6118" w14:textId="1EDBB5EE" w:rsidR="00C75F52" w:rsidRPr="00C75F52" w:rsidRDefault="00C75F52" w:rsidP="002C54B2">
      <w:pPr>
        <w:pStyle w:val="a7"/>
        <w:numPr>
          <w:ilvl w:val="0"/>
          <w:numId w:val="1"/>
        </w:numPr>
        <w:spacing w:line="360" w:lineRule="auto"/>
        <w:jc w:val="both"/>
        <w:rPr>
          <w:lang w:val="ru-RU"/>
        </w:rPr>
      </w:pPr>
      <w:r w:rsidRPr="00C75F52">
        <w:rPr>
          <w:lang w:val="ru-RU"/>
        </w:rPr>
        <w:lastRenderedPageBreak/>
        <w:t>Реализация проектов в строительстве, способствующих значительному повышению энергоэффективности</w:t>
      </w:r>
      <w:r>
        <w:rPr>
          <w:lang w:val="ru-RU"/>
        </w:rPr>
        <w:t>;</w:t>
      </w:r>
    </w:p>
    <w:p w14:paraId="2CF17B6E" w14:textId="2390306A" w:rsidR="00C75F52" w:rsidRDefault="00C75F52" w:rsidP="002C54B2">
      <w:pPr>
        <w:pStyle w:val="a7"/>
        <w:numPr>
          <w:ilvl w:val="0"/>
          <w:numId w:val="1"/>
        </w:numPr>
        <w:spacing w:line="360" w:lineRule="auto"/>
        <w:jc w:val="both"/>
        <w:rPr>
          <w:lang w:val="ru-RU"/>
        </w:rPr>
      </w:pPr>
      <w:r w:rsidRPr="00C75F52">
        <w:rPr>
          <w:lang w:val="ru-RU"/>
        </w:rPr>
        <w:t>Строительство энергоэффективных зданий и сооружений</w:t>
      </w:r>
      <w:r>
        <w:rPr>
          <w:lang w:val="ru-RU"/>
        </w:rPr>
        <w:t>;</w:t>
      </w:r>
    </w:p>
    <w:p w14:paraId="68F2CAFD" w14:textId="467658AB" w:rsidR="00C75F52" w:rsidRPr="00652D0C" w:rsidRDefault="00375113" w:rsidP="002C54B2">
      <w:pPr>
        <w:pStyle w:val="a7"/>
        <w:numPr>
          <w:ilvl w:val="0"/>
          <w:numId w:val="1"/>
        </w:numPr>
        <w:spacing w:line="360" w:lineRule="auto"/>
        <w:jc w:val="both"/>
        <w:rPr>
          <w:lang w:val="ru-RU"/>
        </w:rPr>
      </w:pPr>
      <w:r>
        <w:rPr>
          <w:lang w:val="ru-RU"/>
        </w:rPr>
        <w:t>и</w:t>
      </w:r>
      <w:r w:rsidR="00C75F52">
        <w:rPr>
          <w:lang w:val="ru-RU"/>
        </w:rPr>
        <w:t xml:space="preserve"> ряд других.</w:t>
      </w:r>
    </w:p>
    <w:p w14:paraId="2111703B" w14:textId="1E7B09B8" w:rsidR="00652D0C" w:rsidRDefault="00375113" w:rsidP="002C54B2">
      <w:pPr>
        <w:spacing w:line="360" w:lineRule="auto"/>
        <w:jc w:val="both"/>
        <w:rPr>
          <w:lang w:val="ru-RU"/>
        </w:rPr>
      </w:pPr>
      <w:r>
        <w:rPr>
          <w:lang w:val="ru-RU"/>
        </w:rPr>
        <w:t>На Схеме 1 проиллюстрирован механизм реализации проектов устойчивого развития по механизмам зеленого финансирования в Российской Федерации.</w:t>
      </w:r>
    </w:p>
    <w:p w14:paraId="1E223A88" w14:textId="77777777" w:rsidR="00124F4C" w:rsidRPr="00A43F00" w:rsidRDefault="00124F4C" w:rsidP="00124F4C">
      <w:pPr>
        <w:spacing w:line="360" w:lineRule="auto"/>
        <w:jc w:val="both"/>
        <w:rPr>
          <w:lang w:val="ru-RU"/>
        </w:rPr>
      </w:pPr>
      <w:r w:rsidRPr="00A43F00">
        <w:rPr>
          <w:lang w:val="ru-RU"/>
        </w:rPr>
        <w:t>Требования к инструментам финансирования устойчивого развития</w:t>
      </w:r>
      <w:r>
        <w:rPr>
          <w:lang w:val="ru-RU"/>
        </w:rPr>
        <w:t xml:space="preserve"> в Российской Федерации включают:</w:t>
      </w:r>
    </w:p>
    <w:p w14:paraId="222C3B6A" w14:textId="77777777" w:rsidR="00124F4C" w:rsidRPr="00A43F00" w:rsidRDefault="00124F4C" w:rsidP="00124F4C">
      <w:pPr>
        <w:spacing w:line="360" w:lineRule="auto"/>
        <w:jc w:val="both"/>
        <w:rPr>
          <w:lang w:val="ru-RU"/>
        </w:rPr>
      </w:pPr>
      <w:r w:rsidRPr="00A43F00">
        <w:rPr>
          <w:lang w:val="ru-RU"/>
        </w:rPr>
        <w:t>1. Условия соответствия:</w:t>
      </w:r>
    </w:p>
    <w:p w14:paraId="15F01A57" w14:textId="77777777" w:rsidR="00124F4C" w:rsidRPr="00A43F00" w:rsidRDefault="00124F4C" w:rsidP="00124F4C">
      <w:pPr>
        <w:spacing w:line="360" w:lineRule="auto"/>
        <w:jc w:val="both"/>
        <w:rPr>
          <w:lang w:val="ru-RU"/>
        </w:rPr>
      </w:pPr>
      <w:r w:rsidRPr="00A43F00">
        <w:rPr>
          <w:lang w:val="ru-RU"/>
        </w:rPr>
        <w:t>- Финансирование должно быть направлено исключительно на реализацию проектов устойчивого развития</w:t>
      </w:r>
      <w:r>
        <w:rPr>
          <w:lang w:val="ru-RU"/>
        </w:rPr>
        <w:t>;</w:t>
      </w:r>
    </w:p>
    <w:p w14:paraId="372F445D" w14:textId="77777777" w:rsidR="00124F4C" w:rsidRPr="00A43F00" w:rsidRDefault="00124F4C" w:rsidP="00124F4C">
      <w:pPr>
        <w:spacing w:line="360" w:lineRule="auto"/>
        <w:jc w:val="both"/>
        <w:rPr>
          <w:lang w:val="ru-RU"/>
        </w:rPr>
      </w:pPr>
      <w:r w:rsidRPr="00A43F00">
        <w:rPr>
          <w:lang w:val="ru-RU"/>
        </w:rPr>
        <w:t xml:space="preserve">- Цели использования средств должны соответствовать заявленным задачам </w:t>
      </w:r>
      <w:r>
        <w:rPr>
          <w:lang w:val="ru-RU"/>
        </w:rPr>
        <w:t xml:space="preserve">проектов </w:t>
      </w:r>
      <w:r w:rsidRPr="00A43F00">
        <w:rPr>
          <w:lang w:val="ru-RU"/>
        </w:rPr>
        <w:t>устойчивого развития</w:t>
      </w:r>
      <w:r>
        <w:rPr>
          <w:lang w:val="ru-RU"/>
        </w:rPr>
        <w:t xml:space="preserve"> (подтвержденным независимым верификатором).</w:t>
      </w:r>
    </w:p>
    <w:p w14:paraId="2B5E6593" w14:textId="77777777" w:rsidR="00124F4C" w:rsidRPr="00A43F00" w:rsidRDefault="00124F4C" w:rsidP="00124F4C">
      <w:pPr>
        <w:spacing w:line="360" w:lineRule="auto"/>
        <w:jc w:val="both"/>
        <w:rPr>
          <w:lang w:val="ru-RU"/>
        </w:rPr>
      </w:pPr>
      <w:r w:rsidRPr="00A43F00">
        <w:rPr>
          <w:lang w:val="ru-RU"/>
        </w:rPr>
        <w:t>2. Особые условия для ранее выпущенных инструментов:</w:t>
      </w:r>
    </w:p>
    <w:p w14:paraId="5F6B7E4F" w14:textId="77777777" w:rsidR="00124F4C" w:rsidRPr="00A43F00" w:rsidRDefault="00124F4C" w:rsidP="00124F4C">
      <w:pPr>
        <w:spacing w:line="360" w:lineRule="auto"/>
        <w:jc w:val="both"/>
        <w:rPr>
          <w:lang w:val="ru-RU"/>
        </w:rPr>
      </w:pPr>
      <w:r w:rsidRPr="00A43F00">
        <w:rPr>
          <w:lang w:val="ru-RU"/>
        </w:rPr>
        <w:t>- Проект должен находиться в стадии реализации на момент признания инструмента соответствующим</w:t>
      </w:r>
      <w:r>
        <w:rPr>
          <w:lang w:val="ru-RU"/>
        </w:rPr>
        <w:t>;</w:t>
      </w:r>
    </w:p>
    <w:p w14:paraId="39D98899" w14:textId="77777777" w:rsidR="00124F4C" w:rsidRPr="00A43F00" w:rsidRDefault="00124F4C" w:rsidP="00124F4C">
      <w:pPr>
        <w:spacing w:line="360" w:lineRule="auto"/>
        <w:jc w:val="both"/>
        <w:rPr>
          <w:lang w:val="ru-RU"/>
        </w:rPr>
      </w:pPr>
      <w:r w:rsidRPr="00A43F00">
        <w:rPr>
          <w:lang w:val="ru-RU"/>
        </w:rPr>
        <w:t>- Реализация проекта должна быть начата после 21.09.2021, либо</w:t>
      </w:r>
      <w:r>
        <w:rPr>
          <w:lang w:val="ru-RU"/>
        </w:rPr>
        <w:t xml:space="preserve"> </w:t>
      </w:r>
      <w:r w:rsidRPr="00A43F00">
        <w:rPr>
          <w:lang w:val="ru-RU"/>
        </w:rPr>
        <w:t>регистрация выпуска (программы) облигаций была осуществлена, либо договор о предоставлении кредита (кредитной линии) был заключен после вступления в силу постановления Правительства Российской Федерации от 21 сентября 2021 г. N 1587 "Об утверждении критериев проектов устойчивого (в том числе зеленого) развития в Российской Федерации и требований к системе верификации инструментов финансирования устойчивого развития в Российской Федерации".</w:t>
      </w:r>
    </w:p>
    <w:p w14:paraId="695A1EA3" w14:textId="77777777" w:rsidR="00124F4C" w:rsidRPr="00A43F00" w:rsidRDefault="00124F4C" w:rsidP="00124F4C">
      <w:pPr>
        <w:spacing w:line="360" w:lineRule="auto"/>
        <w:jc w:val="both"/>
        <w:rPr>
          <w:lang w:val="ru-RU"/>
        </w:rPr>
      </w:pPr>
      <w:r w:rsidRPr="00A43F00">
        <w:rPr>
          <w:lang w:val="ru-RU"/>
        </w:rPr>
        <w:t>3. Целевое использование средств:</w:t>
      </w:r>
    </w:p>
    <w:p w14:paraId="415630E0" w14:textId="77777777" w:rsidR="00124F4C" w:rsidRPr="00A43F00" w:rsidRDefault="00124F4C" w:rsidP="00124F4C">
      <w:pPr>
        <w:spacing w:line="360" w:lineRule="auto"/>
        <w:jc w:val="both"/>
        <w:rPr>
          <w:lang w:val="ru-RU"/>
        </w:rPr>
      </w:pPr>
      <w:r w:rsidRPr="00A43F00">
        <w:rPr>
          <w:lang w:val="ru-RU"/>
        </w:rPr>
        <w:t>- Финансирование/рефинансирование капитальных затрат и операционных расходов проектов</w:t>
      </w:r>
      <w:r>
        <w:rPr>
          <w:lang w:val="ru-RU"/>
        </w:rPr>
        <w:t>;</w:t>
      </w:r>
    </w:p>
    <w:p w14:paraId="0E5CEDFA" w14:textId="0891AA35" w:rsidR="00124F4C" w:rsidRDefault="00124F4C" w:rsidP="002C54B2">
      <w:pPr>
        <w:spacing w:line="360" w:lineRule="auto"/>
        <w:jc w:val="both"/>
        <w:rPr>
          <w:lang w:val="ru-RU"/>
        </w:rPr>
      </w:pPr>
      <w:r w:rsidRPr="00A43F00">
        <w:rPr>
          <w:lang w:val="ru-RU"/>
        </w:rPr>
        <w:t>- Формирование/рефинансирование портфеля проектов устойчивого развития</w:t>
      </w:r>
      <w:r>
        <w:rPr>
          <w:lang w:val="ru-RU"/>
        </w:rPr>
        <w:t>.</w:t>
      </w:r>
    </w:p>
    <w:p w14:paraId="373ABFD7" w14:textId="77777777" w:rsidR="00C75F52" w:rsidRDefault="00C75F52" w:rsidP="002C54B2">
      <w:pPr>
        <w:spacing w:line="360" w:lineRule="auto"/>
        <w:jc w:val="both"/>
        <w:rPr>
          <w:lang w:val="ru-RU"/>
        </w:rPr>
        <w:sectPr w:rsidR="00C75F52" w:rsidSect="00F920BC">
          <w:footerReference w:type="default" r:id="rId8"/>
          <w:pgSz w:w="11906" w:h="16838"/>
          <w:pgMar w:top="1417" w:right="1417" w:bottom="1417" w:left="1417" w:header="708" w:footer="708" w:gutter="0"/>
          <w:cols w:space="708"/>
          <w:titlePg/>
          <w:docGrid w:linePitch="360"/>
        </w:sectPr>
      </w:pPr>
    </w:p>
    <w:p w14:paraId="72D86945" w14:textId="52659FB8" w:rsidR="00C75F52" w:rsidRDefault="008E5F58" w:rsidP="002C54B2">
      <w:pPr>
        <w:spacing w:line="360" w:lineRule="auto"/>
        <w:jc w:val="both"/>
        <w:rPr>
          <w:lang w:val="ru-RU"/>
        </w:rPr>
      </w:pPr>
      <w:r w:rsidRPr="00C75F52">
        <w:rPr>
          <w:noProof/>
          <w:lang w:val="ru-RU" w:eastAsia="ru-RU"/>
        </w:rPr>
        <w:lastRenderedPageBreak/>
        <mc:AlternateContent>
          <mc:Choice Requires="wps">
            <w:drawing>
              <wp:anchor distT="45720" distB="45720" distL="114300" distR="114300" simplePos="0" relativeHeight="251663360" behindDoc="0" locked="0" layoutInCell="1" allowOverlap="1" wp14:anchorId="09A39D8A" wp14:editId="670A2AFB">
                <wp:simplePos x="0" y="0"/>
                <wp:positionH relativeFrom="column">
                  <wp:posOffset>2068195</wp:posOffset>
                </wp:positionH>
                <wp:positionV relativeFrom="paragraph">
                  <wp:posOffset>348615</wp:posOffset>
                </wp:positionV>
                <wp:extent cx="2072005" cy="1787525"/>
                <wp:effectExtent l="0" t="0" r="23495" b="22225"/>
                <wp:wrapSquare wrapText="bothSides"/>
                <wp:docPr id="17796166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1787525"/>
                        </a:xfrm>
                        <a:prstGeom prst="rect">
                          <a:avLst/>
                        </a:prstGeom>
                        <a:solidFill>
                          <a:srgbClr val="FFFFFF"/>
                        </a:solidFill>
                        <a:ln w="9525">
                          <a:solidFill>
                            <a:srgbClr val="000000"/>
                          </a:solidFill>
                          <a:miter lim="800000"/>
                          <a:headEnd/>
                          <a:tailEnd/>
                        </a:ln>
                      </wps:spPr>
                      <wps:txbx>
                        <w:txbxContent>
                          <w:p w14:paraId="6B6DCCC9" w14:textId="76A04101" w:rsidR="00C75F52" w:rsidRPr="001C045B" w:rsidRDefault="001C045B" w:rsidP="00C75F52">
                            <w:pPr>
                              <w:rPr>
                                <w:sz w:val="20"/>
                                <w:szCs w:val="20"/>
                                <w:lang w:val="ru-RU"/>
                              </w:rPr>
                            </w:pPr>
                            <w:r w:rsidRPr="001C045B">
                              <w:rPr>
                                <w:b/>
                                <w:bCs/>
                                <w:sz w:val="20"/>
                                <w:szCs w:val="20"/>
                                <w:lang w:val="ru-RU"/>
                              </w:rPr>
                              <w:t>"</w:t>
                            </w:r>
                            <w:r>
                              <w:rPr>
                                <w:b/>
                                <w:bCs/>
                                <w:sz w:val="20"/>
                                <w:szCs w:val="20"/>
                                <w:lang w:val="ru-RU"/>
                              </w:rPr>
                              <w:t>И</w:t>
                            </w:r>
                            <w:r w:rsidRPr="001C045B">
                              <w:rPr>
                                <w:b/>
                                <w:bCs/>
                                <w:sz w:val="20"/>
                                <w:szCs w:val="20"/>
                                <w:lang w:val="ru-RU"/>
                              </w:rPr>
                              <w:t>нструмент финансирования устойчивого развития"</w:t>
                            </w:r>
                            <w:r w:rsidRPr="001C045B">
                              <w:rPr>
                                <w:sz w:val="20"/>
                                <w:szCs w:val="20"/>
                              </w:rPr>
                              <w:t> </w:t>
                            </w:r>
                            <w:r w:rsidRPr="001C045B">
                              <w:rPr>
                                <w:sz w:val="20"/>
                                <w:szCs w:val="20"/>
                                <w:lang w:val="ru-RU"/>
                              </w:rPr>
                              <w:t>- выпуск (программа) облигаций, кредит, кредитная линия, направленные на финансирование зеленых проектов, адаптационных проектов и социальных проектов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39D8A" id="_x0000_t202" coordsize="21600,21600" o:spt="202" path="m,l,21600r21600,l21600,xe">
                <v:stroke joinstyle="miter"/>
                <v:path gradientshapeok="t" o:connecttype="rect"/>
              </v:shapetype>
              <v:shape id="Zone de texte 2" o:spid="_x0000_s1026" type="#_x0000_t202" style="position:absolute;left:0;text-align:left;margin-left:162.85pt;margin-top:27.45pt;width:163.15pt;height:14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">
                <v:textbox>
                  <w:txbxContent>
                    <w:p w14:paraId="6B6DCCC9" w14:textId="76A04101" w:rsidR="00C75F52" w:rsidRPr="001C045B" w:rsidRDefault="001C045B" w:rsidP="00C75F52">
                      <w:pPr>
                        <w:rPr>
                          <w:sz w:val="20"/>
                          <w:szCs w:val="20"/>
                          <w:lang w:val="ru-RU"/>
                        </w:rPr>
                      </w:pPr>
                      <w:r w:rsidRPr="001C045B">
                        <w:rPr>
                          <w:b/>
                          <w:bCs/>
                          <w:sz w:val="20"/>
                          <w:szCs w:val="20"/>
                          <w:lang w:val="ru-RU"/>
                        </w:rPr>
                        <w:t>"</w:t>
                      </w:r>
                      <w:r>
                        <w:rPr>
                          <w:b/>
                          <w:bCs/>
                          <w:sz w:val="20"/>
                          <w:szCs w:val="20"/>
                          <w:lang w:val="ru-RU"/>
                        </w:rPr>
                        <w:t>И</w:t>
                      </w:r>
                      <w:r w:rsidRPr="001C045B">
                        <w:rPr>
                          <w:b/>
                          <w:bCs/>
                          <w:sz w:val="20"/>
                          <w:szCs w:val="20"/>
                          <w:lang w:val="ru-RU"/>
                        </w:rPr>
                        <w:t>нструмент финансирования устойчивого развития"</w:t>
                      </w:r>
                      <w:r w:rsidRPr="001C045B">
                        <w:rPr>
                          <w:sz w:val="20"/>
                          <w:szCs w:val="20"/>
                        </w:rPr>
                        <w:t> </w:t>
                      </w:r>
                      <w:r w:rsidRPr="001C045B">
                        <w:rPr>
                          <w:sz w:val="20"/>
                          <w:szCs w:val="20"/>
                          <w:lang w:val="ru-RU"/>
                        </w:rPr>
                        <w:t>- выпуск (программа) облигаций, кредит, кредитная линия, направленные на финансирование зеленых проектов, адаптационных проектов и социальных проектов</w:t>
                      </w:r>
                    </w:p>
                  </w:txbxContent>
                </v:textbox>
                <w10:wrap type="square"/>
              </v:shape>
            </w:pict>
          </mc:Fallback>
        </mc:AlternateContent>
      </w:r>
      <w:r w:rsidR="009A16F8">
        <w:rPr>
          <w:noProof/>
          <w:lang w:val="ru-RU" w:eastAsia="ru-RU"/>
        </w:rPr>
        <mc:AlternateContent>
          <mc:Choice Requires="wps">
            <w:drawing>
              <wp:anchor distT="0" distB="0" distL="114300" distR="114300" simplePos="0" relativeHeight="251677696" behindDoc="0" locked="0" layoutInCell="1" allowOverlap="1" wp14:anchorId="1B0E6BE3" wp14:editId="724F0C70">
                <wp:simplePos x="0" y="0"/>
                <wp:positionH relativeFrom="column">
                  <wp:posOffset>1732036</wp:posOffset>
                </wp:positionH>
                <wp:positionV relativeFrom="paragraph">
                  <wp:posOffset>1210359</wp:posOffset>
                </wp:positionV>
                <wp:extent cx="381000" cy="181708"/>
                <wp:effectExtent l="0" t="19050" r="38100" b="46990"/>
                <wp:wrapNone/>
                <wp:docPr id="187648919" name="Flèche : droite 2"/>
                <wp:cNvGraphicFramePr/>
                <a:graphic xmlns:a="http://schemas.openxmlformats.org/drawingml/2006/main">
                  <a:graphicData uri="http://schemas.microsoft.com/office/word/2010/wordprocessingShape">
                    <wps:wsp>
                      <wps:cNvSpPr/>
                      <wps:spPr>
                        <a:xfrm>
                          <a:off x="0" y="0"/>
                          <a:ext cx="381000" cy="181708"/>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FBB7E0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136.4pt;margin-top:95.3pt;width:30pt;height:14.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" adj="16449" fillcolor="#156082 [3204]" strokecolor="#030e13 [484]" strokeweight="1pt"/>
            </w:pict>
          </mc:Fallback>
        </mc:AlternateContent>
      </w:r>
      <w:r w:rsidR="00F918A6" w:rsidRPr="00C75F52">
        <w:rPr>
          <w:noProof/>
          <w:lang w:val="ru-RU" w:eastAsia="ru-RU"/>
        </w:rPr>
        <mc:AlternateContent>
          <mc:Choice Requires="wps">
            <w:drawing>
              <wp:anchor distT="45720" distB="45720" distL="114300" distR="114300" simplePos="0" relativeHeight="251671552" behindDoc="0" locked="0" layoutInCell="1" allowOverlap="1" wp14:anchorId="5EF12EAC" wp14:editId="0E2F8EBA">
                <wp:simplePos x="0" y="0"/>
                <wp:positionH relativeFrom="column">
                  <wp:posOffset>6895465</wp:posOffset>
                </wp:positionH>
                <wp:positionV relativeFrom="paragraph">
                  <wp:posOffset>342265</wp:posOffset>
                </wp:positionV>
                <wp:extent cx="2051050" cy="1664335"/>
                <wp:effectExtent l="0" t="0" r="25400" b="12065"/>
                <wp:wrapSquare wrapText="bothSides"/>
                <wp:docPr id="976369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1664335"/>
                        </a:xfrm>
                        <a:prstGeom prst="rect">
                          <a:avLst/>
                        </a:prstGeom>
                        <a:solidFill>
                          <a:srgbClr val="FFFFFF"/>
                        </a:solidFill>
                        <a:ln w="9525">
                          <a:solidFill>
                            <a:srgbClr val="000000"/>
                          </a:solidFill>
                          <a:miter lim="800000"/>
                          <a:headEnd/>
                          <a:tailEnd/>
                        </a:ln>
                      </wps:spPr>
                      <wps:txbx>
                        <w:txbxContent>
                          <w:p w14:paraId="3E7ECA94" w14:textId="3335D83F" w:rsidR="00F918A6" w:rsidRPr="00F918A6" w:rsidRDefault="00F918A6" w:rsidP="00F918A6">
                            <w:pPr>
                              <w:rPr>
                                <w:sz w:val="20"/>
                                <w:szCs w:val="20"/>
                                <w:lang w:val="ru-RU"/>
                              </w:rPr>
                            </w:pPr>
                            <w:r w:rsidRPr="00F918A6">
                              <w:rPr>
                                <w:b/>
                                <w:bCs/>
                                <w:sz w:val="20"/>
                                <w:szCs w:val="20"/>
                                <w:lang w:val="ru-RU"/>
                              </w:rPr>
                              <w:t>"</w:t>
                            </w:r>
                            <w:r>
                              <w:rPr>
                                <w:b/>
                                <w:bCs/>
                                <w:sz w:val="20"/>
                                <w:szCs w:val="20"/>
                                <w:lang w:val="ru-RU"/>
                              </w:rPr>
                              <w:t>В</w:t>
                            </w:r>
                            <w:r w:rsidRPr="00F918A6">
                              <w:rPr>
                                <w:b/>
                                <w:bCs/>
                                <w:sz w:val="20"/>
                                <w:szCs w:val="20"/>
                                <w:lang w:val="ru-RU"/>
                              </w:rPr>
                              <w:t>ерифика</w:t>
                            </w:r>
                            <w:r>
                              <w:rPr>
                                <w:b/>
                                <w:bCs/>
                                <w:sz w:val="20"/>
                                <w:szCs w:val="20"/>
                                <w:lang w:val="ru-RU"/>
                              </w:rPr>
                              <w:t>ция результатов выполнения проекта</w:t>
                            </w:r>
                            <w:r w:rsidRPr="00F918A6">
                              <w:rPr>
                                <w:b/>
                                <w:bCs/>
                                <w:sz w:val="20"/>
                                <w:szCs w:val="20"/>
                                <w:lang w:val="ru-RU"/>
                              </w:rPr>
                              <w:t>"</w:t>
                            </w:r>
                            <w:r w:rsidRPr="00F918A6">
                              <w:rPr>
                                <w:b/>
                                <w:bCs/>
                                <w:sz w:val="20"/>
                                <w:szCs w:val="20"/>
                              </w:rPr>
                              <w:t> </w:t>
                            </w:r>
                            <w:r>
                              <w:rPr>
                                <w:sz w:val="20"/>
                                <w:szCs w:val="20"/>
                                <w:lang w:val="ru-RU"/>
                              </w:rPr>
                              <w:t>–</w:t>
                            </w:r>
                            <w:r w:rsidRPr="00F918A6">
                              <w:rPr>
                                <w:sz w:val="20"/>
                                <w:szCs w:val="20"/>
                                <w:lang w:val="ru-RU"/>
                              </w:rPr>
                              <w:t xml:space="preserve"> </w:t>
                            </w:r>
                            <w:r>
                              <w:rPr>
                                <w:sz w:val="20"/>
                                <w:szCs w:val="20"/>
                                <w:lang w:val="ru-RU"/>
                              </w:rPr>
                              <w:t>проверка отчетности по проекту и представление</w:t>
                            </w:r>
                            <w:r w:rsidRPr="00F918A6">
                              <w:rPr>
                                <w:sz w:val="20"/>
                                <w:szCs w:val="20"/>
                                <w:lang w:val="ru-RU"/>
                              </w:rPr>
                              <w:t xml:space="preserve"> заключени</w:t>
                            </w:r>
                            <w:r>
                              <w:rPr>
                                <w:sz w:val="20"/>
                                <w:szCs w:val="20"/>
                                <w:lang w:val="ru-RU"/>
                              </w:rPr>
                              <w:t>я</w:t>
                            </w:r>
                            <w:r w:rsidRPr="00F918A6">
                              <w:rPr>
                                <w:sz w:val="20"/>
                                <w:szCs w:val="20"/>
                                <w:lang w:val="ru-RU"/>
                              </w:rPr>
                              <w:t xml:space="preserve"> о </w:t>
                            </w:r>
                            <w:r>
                              <w:rPr>
                                <w:sz w:val="20"/>
                                <w:szCs w:val="20"/>
                                <w:lang w:val="ru-RU"/>
                              </w:rPr>
                              <w:t>выполнении требований</w:t>
                            </w:r>
                            <w:r w:rsidRPr="00F918A6">
                              <w:rPr>
                                <w:sz w:val="20"/>
                                <w:szCs w:val="20"/>
                                <w:lang w:val="ru-RU"/>
                              </w:rPr>
                              <w:t xml:space="preserve"> </w:t>
                            </w:r>
                            <w:r>
                              <w:rPr>
                                <w:sz w:val="20"/>
                                <w:szCs w:val="20"/>
                                <w:lang w:val="ru-RU"/>
                              </w:rPr>
                              <w:t xml:space="preserve">использования </w:t>
                            </w:r>
                            <w:r w:rsidRPr="00F918A6">
                              <w:rPr>
                                <w:sz w:val="20"/>
                                <w:szCs w:val="20"/>
                                <w:lang w:val="ru-RU"/>
                              </w:rPr>
                              <w:t>инструмента финансирования устойчивого развития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F12EAC" id="_x0000_t202" coordsize="21600,21600" o:spt="202" path="m,l,21600r21600,l21600,xe">
                <v:stroke joinstyle="miter"/>
                <v:path gradientshapeok="t" o:connecttype="rect"/>
              </v:shapetype>
              <v:shape id="Zone de texte 2" o:spid="_x0000_s1026" type="#_x0000_t202" style="position:absolute;left:0;text-align:left;margin-left:542.95pt;margin-top:26.95pt;width:161.5pt;height:131.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">
                <v:textbox>
                  <w:txbxContent>
                    <w:p w14:paraId="3E7ECA94" w14:textId="3335D83F" w:rsidR="00F918A6" w:rsidRPr="00F918A6" w:rsidRDefault="00F918A6" w:rsidP="00F918A6">
                      <w:pPr>
                        <w:rPr>
                          <w:sz w:val="20"/>
                          <w:szCs w:val="20"/>
                          <w:lang w:val="ru-RU"/>
                        </w:rPr>
                      </w:pPr>
                      <w:r w:rsidRPr="00F918A6">
                        <w:rPr>
                          <w:b/>
                          <w:bCs/>
                          <w:sz w:val="20"/>
                          <w:szCs w:val="20"/>
                          <w:lang w:val="ru-RU"/>
                        </w:rPr>
                        <w:t>"</w:t>
                      </w:r>
                      <w:r>
                        <w:rPr>
                          <w:b/>
                          <w:bCs/>
                          <w:sz w:val="20"/>
                          <w:szCs w:val="20"/>
                          <w:lang w:val="ru-RU"/>
                        </w:rPr>
                        <w:t>В</w:t>
                      </w:r>
                      <w:r w:rsidRPr="00F918A6">
                        <w:rPr>
                          <w:b/>
                          <w:bCs/>
                          <w:sz w:val="20"/>
                          <w:szCs w:val="20"/>
                          <w:lang w:val="ru-RU"/>
                        </w:rPr>
                        <w:t>ерифика</w:t>
                      </w:r>
                      <w:r>
                        <w:rPr>
                          <w:b/>
                          <w:bCs/>
                          <w:sz w:val="20"/>
                          <w:szCs w:val="20"/>
                          <w:lang w:val="ru-RU"/>
                        </w:rPr>
                        <w:t>ция результатов выполнения проекта</w:t>
                      </w:r>
                      <w:r w:rsidRPr="00F918A6">
                        <w:rPr>
                          <w:b/>
                          <w:bCs/>
                          <w:sz w:val="20"/>
                          <w:szCs w:val="20"/>
                          <w:lang w:val="ru-RU"/>
                        </w:rPr>
                        <w:t>"</w:t>
                      </w:r>
                      <w:r w:rsidRPr="00F918A6">
                        <w:rPr>
                          <w:b/>
                          <w:bCs/>
                          <w:sz w:val="20"/>
                          <w:szCs w:val="20"/>
                        </w:rPr>
                        <w:t> </w:t>
                      </w:r>
                      <w:r>
                        <w:rPr>
                          <w:sz w:val="20"/>
                          <w:szCs w:val="20"/>
                          <w:lang w:val="ru-RU"/>
                        </w:rPr>
                        <w:t>–</w:t>
                      </w:r>
                      <w:r w:rsidRPr="00F918A6">
                        <w:rPr>
                          <w:sz w:val="20"/>
                          <w:szCs w:val="20"/>
                          <w:lang w:val="ru-RU"/>
                        </w:rPr>
                        <w:t xml:space="preserve"> </w:t>
                      </w:r>
                      <w:r>
                        <w:rPr>
                          <w:sz w:val="20"/>
                          <w:szCs w:val="20"/>
                          <w:lang w:val="ru-RU"/>
                        </w:rPr>
                        <w:t>проверка отчетности по проекту и представление</w:t>
                      </w:r>
                      <w:r w:rsidRPr="00F918A6">
                        <w:rPr>
                          <w:sz w:val="20"/>
                          <w:szCs w:val="20"/>
                          <w:lang w:val="ru-RU"/>
                        </w:rPr>
                        <w:t xml:space="preserve"> заключени</w:t>
                      </w:r>
                      <w:r>
                        <w:rPr>
                          <w:sz w:val="20"/>
                          <w:szCs w:val="20"/>
                          <w:lang w:val="ru-RU"/>
                        </w:rPr>
                        <w:t>я</w:t>
                      </w:r>
                      <w:r w:rsidRPr="00F918A6">
                        <w:rPr>
                          <w:sz w:val="20"/>
                          <w:szCs w:val="20"/>
                          <w:lang w:val="ru-RU"/>
                        </w:rPr>
                        <w:t xml:space="preserve"> о </w:t>
                      </w:r>
                      <w:r>
                        <w:rPr>
                          <w:sz w:val="20"/>
                          <w:szCs w:val="20"/>
                          <w:lang w:val="ru-RU"/>
                        </w:rPr>
                        <w:t>выполнении требований</w:t>
                      </w:r>
                      <w:r w:rsidRPr="00F918A6">
                        <w:rPr>
                          <w:sz w:val="20"/>
                          <w:szCs w:val="20"/>
                          <w:lang w:val="ru-RU"/>
                        </w:rPr>
                        <w:t xml:space="preserve"> </w:t>
                      </w:r>
                      <w:r>
                        <w:rPr>
                          <w:sz w:val="20"/>
                          <w:szCs w:val="20"/>
                          <w:lang w:val="ru-RU"/>
                        </w:rPr>
                        <w:t xml:space="preserve">использования </w:t>
                      </w:r>
                      <w:r w:rsidRPr="00F918A6">
                        <w:rPr>
                          <w:sz w:val="20"/>
                          <w:szCs w:val="20"/>
                          <w:lang w:val="ru-RU"/>
                        </w:rPr>
                        <w:t>инструмента финансирования устойчивого развития</w:t>
                      </w:r>
                    </w:p>
                  </w:txbxContent>
                </v:textbox>
                <w10:wrap type="square"/>
              </v:shape>
            </w:pict>
          </mc:Fallback>
        </mc:AlternateContent>
      </w:r>
      <w:r w:rsidR="00375113">
        <w:rPr>
          <w:lang w:val="ru-RU"/>
        </w:rPr>
        <w:t>Схема 1. Реализация проектов устойчивого развития по механизмам зеленого финансирования в Российской Федерации.</w:t>
      </w:r>
    </w:p>
    <w:p w14:paraId="769BBD81" w14:textId="02A1FD1C" w:rsidR="00C75F52" w:rsidRDefault="008E5F58" w:rsidP="002C54B2">
      <w:pPr>
        <w:spacing w:line="360" w:lineRule="auto"/>
        <w:jc w:val="both"/>
        <w:rPr>
          <w:lang w:val="ru-RU"/>
        </w:rPr>
      </w:pPr>
      <w:r w:rsidRPr="00C75F52">
        <w:rPr>
          <w:noProof/>
          <w:lang w:val="ru-RU" w:eastAsia="ru-RU"/>
        </w:rPr>
        <mc:AlternateContent>
          <mc:Choice Requires="wps">
            <w:drawing>
              <wp:anchor distT="45720" distB="45720" distL="114300" distR="114300" simplePos="0" relativeHeight="251665408" behindDoc="0" locked="0" layoutInCell="1" allowOverlap="1" wp14:anchorId="4F764D6F" wp14:editId="717C6234">
                <wp:simplePos x="0" y="0"/>
                <wp:positionH relativeFrom="column">
                  <wp:posOffset>4559300</wp:posOffset>
                </wp:positionH>
                <wp:positionV relativeFrom="paragraph">
                  <wp:posOffset>1226185</wp:posOffset>
                </wp:positionV>
                <wp:extent cx="2051050" cy="2128520"/>
                <wp:effectExtent l="0" t="0" r="25400" b="24130"/>
                <wp:wrapSquare wrapText="bothSides"/>
                <wp:docPr id="12037909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2128520"/>
                        </a:xfrm>
                        <a:prstGeom prst="rect">
                          <a:avLst/>
                        </a:prstGeom>
                        <a:solidFill>
                          <a:srgbClr val="FFFFFF"/>
                        </a:solidFill>
                        <a:ln w="9525">
                          <a:solidFill>
                            <a:srgbClr val="000000"/>
                          </a:solidFill>
                          <a:miter lim="800000"/>
                          <a:headEnd/>
                          <a:tailEnd/>
                        </a:ln>
                      </wps:spPr>
                      <wps:txbx>
                        <w:txbxContent>
                          <w:p w14:paraId="7E559925" w14:textId="4D9E311E" w:rsidR="00F918A6" w:rsidRPr="00F918A6" w:rsidRDefault="00F918A6" w:rsidP="00F918A6">
                            <w:pPr>
                              <w:rPr>
                                <w:sz w:val="20"/>
                                <w:szCs w:val="20"/>
                                <w:lang w:val="ru-RU"/>
                              </w:rPr>
                            </w:pPr>
                            <w:r w:rsidRPr="00F918A6">
                              <w:rPr>
                                <w:b/>
                                <w:bCs/>
                                <w:sz w:val="20"/>
                                <w:szCs w:val="20"/>
                                <w:lang w:val="ru-RU"/>
                              </w:rPr>
                              <w:t>"</w:t>
                            </w:r>
                            <w:r>
                              <w:rPr>
                                <w:b/>
                                <w:bCs/>
                                <w:sz w:val="20"/>
                                <w:szCs w:val="20"/>
                                <w:lang w:val="ru-RU"/>
                              </w:rPr>
                              <w:t>В</w:t>
                            </w:r>
                            <w:r w:rsidRPr="00F918A6">
                              <w:rPr>
                                <w:b/>
                                <w:bCs/>
                                <w:sz w:val="20"/>
                                <w:szCs w:val="20"/>
                                <w:lang w:val="ru-RU"/>
                              </w:rPr>
                              <w:t>ерификатор инструмента финансирования устойчивого развития"</w:t>
                            </w:r>
                            <w:r w:rsidRPr="00F918A6">
                              <w:rPr>
                                <w:b/>
                                <w:bCs/>
                                <w:sz w:val="20"/>
                                <w:szCs w:val="20"/>
                              </w:rPr>
                              <w:t> </w:t>
                            </w:r>
                            <w:r w:rsidRPr="00F918A6">
                              <w:rPr>
                                <w:sz w:val="20"/>
                                <w:szCs w:val="20"/>
                                <w:lang w:val="ru-RU"/>
                              </w:rPr>
                              <w:t>- юридическое лицо, предоставляющее заключение о соответствии инструмента финансирования устойчивого развития требованиям, предусмотренным настоящим документом, включенное методологическим центром в перечень верификаторов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64D6F" id="_x0000_s1028" type="#_x0000_t202" style="position:absolute;left:0;text-align:left;margin-left:359pt;margin-top:96.55pt;width:161.5pt;height:167.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">
                <v:textbox>
                  <w:txbxContent>
                    <w:p w14:paraId="7E559925" w14:textId="4D9E311E" w:rsidR="00F918A6" w:rsidRPr="00F918A6" w:rsidRDefault="00F918A6" w:rsidP="00F918A6">
                      <w:pPr>
                        <w:rPr>
                          <w:sz w:val="20"/>
                          <w:szCs w:val="20"/>
                          <w:lang w:val="ru-RU"/>
                        </w:rPr>
                      </w:pPr>
                      <w:r w:rsidRPr="00F918A6">
                        <w:rPr>
                          <w:b/>
                          <w:bCs/>
                          <w:sz w:val="20"/>
                          <w:szCs w:val="20"/>
                          <w:lang w:val="ru-RU"/>
                        </w:rPr>
                        <w:t>"</w:t>
                      </w:r>
                      <w:r>
                        <w:rPr>
                          <w:b/>
                          <w:bCs/>
                          <w:sz w:val="20"/>
                          <w:szCs w:val="20"/>
                          <w:lang w:val="ru-RU"/>
                        </w:rPr>
                        <w:t>В</w:t>
                      </w:r>
                      <w:r w:rsidRPr="00F918A6">
                        <w:rPr>
                          <w:b/>
                          <w:bCs/>
                          <w:sz w:val="20"/>
                          <w:szCs w:val="20"/>
                          <w:lang w:val="ru-RU"/>
                        </w:rPr>
                        <w:t>ерификатор инструмента финансирования устойчивого развития"</w:t>
                      </w:r>
                      <w:r w:rsidRPr="00F918A6">
                        <w:rPr>
                          <w:b/>
                          <w:bCs/>
                          <w:sz w:val="20"/>
                          <w:szCs w:val="20"/>
                        </w:rPr>
                        <w:t> </w:t>
                      </w:r>
                      <w:r w:rsidRPr="00F918A6">
                        <w:rPr>
                          <w:sz w:val="20"/>
                          <w:szCs w:val="20"/>
                          <w:lang w:val="ru-RU"/>
                        </w:rPr>
                        <w:t>- юридическое лицо, предоставляющее заключение о соответствии инструмента финансирования устойчивого развития требованиям, предусмотренным настоящим документом, включенное методологическим центром в перечень верификаторов</w:t>
                      </w:r>
                    </w:p>
                  </w:txbxContent>
                </v:textbox>
                <w10:wrap type="square"/>
              </v:shape>
            </w:pict>
          </mc:Fallback>
        </mc:AlternateContent>
      </w:r>
      <w:r w:rsidR="009A16F8">
        <w:rPr>
          <w:noProof/>
          <w:lang w:val="ru-RU" w:eastAsia="ru-RU"/>
        </w:rPr>
        <mc:AlternateContent>
          <mc:Choice Requires="wps">
            <w:drawing>
              <wp:anchor distT="0" distB="0" distL="114300" distR="114300" simplePos="0" relativeHeight="251689984" behindDoc="0" locked="0" layoutInCell="1" allowOverlap="1" wp14:anchorId="1D53B391" wp14:editId="0EC08418">
                <wp:simplePos x="0" y="0"/>
                <wp:positionH relativeFrom="column">
                  <wp:posOffset>6602486</wp:posOffset>
                </wp:positionH>
                <wp:positionV relativeFrom="paragraph">
                  <wp:posOffset>1381467</wp:posOffset>
                </wp:positionV>
                <wp:extent cx="305288" cy="156796"/>
                <wp:effectExtent l="0" t="19050" r="38100" b="34290"/>
                <wp:wrapNone/>
                <wp:docPr id="523009246" name="Flèche : droite 2"/>
                <wp:cNvGraphicFramePr/>
                <a:graphic xmlns:a="http://schemas.openxmlformats.org/drawingml/2006/main">
                  <a:graphicData uri="http://schemas.microsoft.com/office/word/2010/wordprocessingShape">
                    <wps:wsp>
                      <wps:cNvSpPr/>
                      <wps:spPr>
                        <a:xfrm>
                          <a:off x="0" y="0"/>
                          <a:ext cx="305288" cy="15679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86556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519.9pt;margin-top:108.8pt;width:24.05pt;height:12.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" adj="16053" fillcolor="#156082 [3204]" strokecolor="#030e13 [484]" strokeweight="1pt"/>
            </w:pict>
          </mc:Fallback>
        </mc:AlternateContent>
      </w:r>
      <w:r w:rsidR="009A16F8">
        <w:rPr>
          <w:noProof/>
          <w:lang w:val="ru-RU" w:eastAsia="ru-RU"/>
        </w:rPr>
        <mc:AlternateContent>
          <mc:Choice Requires="wps">
            <w:drawing>
              <wp:anchor distT="0" distB="0" distL="114300" distR="114300" simplePos="0" relativeHeight="251687936" behindDoc="0" locked="0" layoutInCell="1" allowOverlap="1" wp14:anchorId="1CAF98EB" wp14:editId="306AA997">
                <wp:simplePos x="0" y="0"/>
                <wp:positionH relativeFrom="column">
                  <wp:posOffset>7877859</wp:posOffset>
                </wp:positionH>
                <wp:positionV relativeFrom="paragraph">
                  <wp:posOffset>1746347</wp:posOffset>
                </wp:positionV>
                <wp:extent cx="298914" cy="152376"/>
                <wp:effectExtent l="0" t="2858" r="41593" b="41592"/>
                <wp:wrapNone/>
                <wp:docPr id="1089431563" name="Flèche : droite 2"/>
                <wp:cNvGraphicFramePr/>
                <a:graphic xmlns:a="http://schemas.openxmlformats.org/drawingml/2006/main">
                  <a:graphicData uri="http://schemas.microsoft.com/office/word/2010/wordprocessingShape">
                    <wps:wsp>
                      <wps:cNvSpPr/>
                      <wps:spPr>
                        <a:xfrm rot="5400000">
                          <a:off x="0" y="0"/>
                          <a:ext cx="298914" cy="15237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2D676EE" id="Flèche : droite 2" o:spid="_x0000_s1026" type="#_x0000_t13" style="position:absolute;margin-left:620.3pt;margin-top:137.5pt;width:23.55pt;height:12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" adj="16095" fillcolor="#156082 [3204]" strokecolor="#030e13 [484]" strokeweight="1pt"/>
            </w:pict>
          </mc:Fallback>
        </mc:AlternateContent>
      </w:r>
      <w:r w:rsidR="009A16F8">
        <w:rPr>
          <w:noProof/>
          <w:lang w:val="ru-RU" w:eastAsia="ru-RU"/>
        </w:rPr>
        <mc:AlternateContent>
          <mc:Choice Requires="wps">
            <w:drawing>
              <wp:anchor distT="0" distB="0" distL="114300" distR="114300" simplePos="0" relativeHeight="251683840" behindDoc="0" locked="0" layoutInCell="1" allowOverlap="1" wp14:anchorId="3037BE1E" wp14:editId="7F4AA9B5">
                <wp:simplePos x="0" y="0"/>
                <wp:positionH relativeFrom="column">
                  <wp:posOffset>4142593</wp:posOffset>
                </wp:positionH>
                <wp:positionV relativeFrom="paragraph">
                  <wp:posOffset>1350694</wp:posOffset>
                </wp:positionV>
                <wp:extent cx="420566" cy="194798"/>
                <wp:effectExtent l="19050" t="19050" r="17780" b="34290"/>
                <wp:wrapNone/>
                <wp:docPr id="579381072" name="Flèche : droite 2"/>
                <wp:cNvGraphicFramePr/>
                <a:graphic xmlns:a="http://schemas.openxmlformats.org/drawingml/2006/main">
                  <a:graphicData uri="http://schemas.microsoft.com/office/word/2010/wordprocessingShape">
                    <wps:wsp>
                      <wps:cNvSpPr/>
                      <wps:spPr>
                        <a:xfrm rot="10800000">
                          <a:off x="0" y="0"/>
                          <a:ext cx="420566" cy="194798"/>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5C83253" id="Flèche : droite 2" o:spid="_x0000_s1026" type="#_x0000_t13" style="position:absolute;margin-left:326.2pt;margin-top:106.35pt;width:33.1pt;height:15.35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" adj="16598" fillcolor="#156082 [3204]" strokecolor="#030e13 [484]" strokeweight="1pt"/>
            </w:pict>
          </mc:Fallback>
        </mc:AlternateContent>
      </w:r>
      <w:r w:rsidR="009A16F8">
        <w:rPr>
          <w:noProof/>
          <w:lang w:val="ru-RU" w:eastAsia="ru-RU"/>
        </w:rPr>
        <mc:AlternateContent>
          <mc:Choice Requires="wps">
            <w:drawing>
              <wp:anchor distT="0" distB="0" distL="114300" distR="114300" simplePos="0" relativeHeight="251681792" behindDoc="0" locked="0" layoutInCell="1" allowOverlap="1" wp14:anchorId="6455EC20" wp14:editId="24B079D7">
                <wp:simplePos x="0" y="0"/>
                <wp:positionH relativeFrom="column">
                  <wp:posOffset>5462270</wp:posOffset>
                </wp:positionH>
                <wp:positionV relativeFrom="paragraph">
                  <wp:posOffset>943757</wp:posOffset>
                </wp:positionV>
                <wp:extent cx="381000" cy="181610"/>
                <wp:effectExtent l="23495" t="0" r="42545" b="42545"/>
                <wp:wrapNone/>
                <wp:docPr id="1769325025" name="Flèche : droite 2"/>
                <wp:cNvGraphicFramePr/>
                <a:graphic xmlns:a="http://schemas.openxmlformats.org/drawingml/2006/main">
                  <a:graphicData uri="http://schemas.microsoft.com/office/word/2010/wordprocessingShape">
                    <wps:wsp>
                      <wps:cNvSpPr/>
                      <wps:spPr>
                        <a:xfrm rot="5400000">
                          <a:off x="0" y="0"/>
                          <a:ext cx="381000" cy="18161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889D6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430.1pt;margin-top:74.3pt;width:30pt;height:14.3pt;rotation:90;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" adj="16452" fillcolor="#156082 [3204]" strokecolor="#030e13 [484]" strokeweight="1pt"/>
            </w:pict>
          </mc:Fallback>
        </mc:AlternateContent>
      </w:r>
      <w:r w:rsidR="00F918A6" w:rsidRPr="00C75F52">
        <w:rPr>
          <w:noProof/>
          <w:lang w:val="ru-RU" w:eastAsia="ru-RU"/>
        </w:rPr>
        <mc:AlternateContent>
          <mc:Choice Requires="wps">
            <w:drawing>
              <wp:anchor distT="45720" distB="45720" distL="114300" distR="114300" simplePos="0" relativeHeight="251667456" behindDoc="0" locked="0" layoutInCell="1" allowOverlap="1" wp14:anchorId="086CA1EE" wp14:editId="645B617D">
                <wp:simplePos x="0" y="0"/>
                <wp:positionH relativeFrom="column">
                  <wp:posOffset>4551045</wp:posOffset>
                </wp:positionH>
                <wp:positionV relativeFrom="paragraph">
                  <wp:posOffset>8255</wp:posOffset>
                </wp:positionV>
                <wp:extent cx="2051050" cy="849630"/>
                <wp:effectExtent l="0" t="0" r="25400" b="26670"/>
                <wp:wrapSquare wrapText="bothSides"/>
                <wp:docPr id="12416259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849630"/>
                        </a:xfrm>
                        <a:prstGeom prst="rect">
                          <a:avLst/>
                        </a:prstGeom>
                        <a:solidFill>
                          <a:srgbClr val="FFFFFF"/>
                        </a:solidFill>
                        <a:ln w="9525">
                          <a:solidFill>
                            <a:srgbClr val="000000"/>
                          </a:solidFill>
                          <a:miter lim="800000"/>
                          <a:headEnd/>
                          <a:tailEnd/>
                        </a:ln>
                      </wps:spPr>
                      <wps:txbx>
                        <w:txbxContent>
                          <w:p w14:paraId="2828422B" w14:textId="04D9A751" w:rsidR="00F918A6" w:rsidRPr="00F918A6" w:rsidRDefault="00F918A6" w:rsidP="00F918A6">
                            <w:pPr>
                              <w:rPr>
                                <w:sz w:val="20"/>
                                <w:szCs w:val="20"/>
                                <w:lang w:val="ru-RU"/>
                              </w:rPr>
                            </w:pPr>
                            <w:r w:rsidRPr="00F918A6">
                              <w:rPr>
                                <w:b/>
                                <w:bCs/>
                                <w:sz w:val="20"/>
                                <w:szCs w:val="20"/>
                                <w:lang w:val="ru-RU"/>
                              </w:rPr>
                              <w:t>"</w:t>
                            </w:r>
                            <w:r>
                              <w:rPr>
                                <w:b/>
                                <w:bCs/>
                                <w:sz w:val="20"/>
                                <w:szCs w:val="20"/>
                                <w:lang w:val="ru-RU"/>
                              </w:rPr>
                              <w:t>М</w:t>
                            </w:r>
                            <w:r w:rsidRPr="00F918A6">
                              <w:rPr>
                                <w:b/>
                                <w:bCs/>
                                <w:sz w:val="20"/>
                                <w:szCs w:val="20"/>
                                <w:lang w:val="ru-RU"/>
                              </w:rPr>
                              <w:t>етодологический центр"</w:t>
                            </w:r>
                            <w:r w:rsidRPr="00F918A6">
                              <w:rPr>
                                <w:sz w:val="20"/>
                                <w:szCs w:val="20"/>
                              </w:rPr>
                              <w:t> </w:t>
                            </w:r>
                            <w:r w:rsidRPr="00F918A6">
                              <w:rPr>
                                <w:sz w:val="20"/>
                                <w:szCs w:val="20"/>
                                <w:lang w:val="ru-RU"/>
                              </w:rPr>
                              <w:t>- государственная корпорация развития "ВЭБ.РФ"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CA1EE" id="_x0000_s1029" type="#_x0000_t202" style="position:absolute;left:0;text-align:left;margin-left:358.35pt;margin-top:.65pt;width:161.5pt;height:66.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">
                <v:textbox>
                  <w:txbxContent>
                    <w:p w14:paraId="2828422B" w14:textId="04D9A751" w:rsidR="00F918A6" w:rsidRPr="00F918A6" w:rsidRDefault="00F918A6" w:rsidP="00F918A6">
                      <w:pPr>
                        <w:rPr>
                          <w:sz w:val="20"/>
                          <w:szCs w:val="20"/>
                          <w:lang w:val="ru-RU"/>
                        </w:rPr>
                      </w:pPr>
                      <w:r w:rsidRPr="00F918A6">
                        <w:rPr>
                          <w:b/>
                          <w:bCs/>
                          <w:sz w:val="20"/>
                          <w:szCs w:val="20"/>
                          <w:lang w:val="ru-RU"/>
                        </w:rPr>
                        <w:t>"</w:t>
                      </w:r>
                      <w:r>
                        <w:rPr>
                          <w:b/>
                          <w:bCs/>
                          <w:sz w:val="20"/>
                          <w:szCs w:val="20"/>
                          <w:lang w:val="ru-RU"/>
                        </w:rPr>
                        <w:t>М</w:t>
                      </w:r>
                      <w:r w:rsidRPr="00F918A6">
                        <w:rPr>
                          <w:b/>
                          <w:bCs/>
                          <w:sz w:val="20"/>
                          <w:szCs w:val="20"/>
                          <w:lang w:val="ru-RU"/>
                        </w:rPr>
                        <w:t>етодологический центр"</w:t>
                      </w:r>
                      <w:r w:rsidRPr="00F918A6">
                        <w:rPr>
                          <w:sz w:val="20"/>
                          <w:szCs w:val="20"/>
                        </w:rPr>
                        <w:t> </w:t>
                      </w:r>
                      <w:r w:rsidRPr="00F918A6">
                        <w:rPr>
                          <w:sz w:val="20"/>
                          <w:szCs w:val="20"/>
                          <w:lang w:val="ru-RU"/>
                        </w:rPr>
                        <w:t>- государственная корпорация развития "ВЭБ.РФ"</w:t>
                      </w:r>
                    </w:p>
                  </w:txbxContent>
                </v:textbox>
                <w10:wrap type="square"/>
              </v:shape>
            </w:pict>
          </mc:Fallback>
        </mc:AlternateContent>
      </w:r>
      <w:r w:rsidR="00F918A6" w:rsidRPr="00C75F52">
        <w:rPr>
          <w:noProof/>
          <w:lang w:val="ru-RU" w:eastAsia="ru-RU"/>
        </w:rPr>
        <mc:AlternateContent>
          <mc:Choice Requires="wps">
            <w:drawing>
              <wp:anchor distT="45720" distB="45720" distL="114300" distR="114300" simplePos="0" relativeHeight="251659264" behindDoc="0" locked="0" layoutInCell="1" allowOverlap="1" wp14:anchorId="38846C82" wp14:editId="027414D9">
                <wp:simplePos x="0" y="0"/>
                <wp:positionH relativeFrom="column">
                  <wp:posOffset>-401955</wp:posOffset>
                </wp:positionH>
                <wp:positionV relativeFrom="paragraph">
                  <wp:posOffset>8255</wp:posOffset>
                </wp:positionV>
                <wp:extent cx="2115820" cy="3803650"/>
                <wp:effectExtent l="0" t="0" r="17780"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3803650"/>
                        </a:xfrm>
                        <a:prstGeom prst="rect">
                          <a:avLst/>
                        </a:prstGeom>
                        <a:solidFill>
                          <a:srgbClr val="FFFFFF"/>
                        </a:solidFill>
                        <a:ln w="9525">
                          <a:solidFill>
                            <a:srgbClr val="000000"/>
                          </a:solidFill>
                          <a:miter lim="800000"/>
                          <a:headEnd/>
                          <a:tailEnd/>
                        </a:ln>
                      </wps:spPr>
                      <wps:txbx>
                        <w:txbxContent>
                          <w:p w14:paraId="4EE5BB3C" w14:textId="3442D766" w:rsidR="00C75F52" w:rsidRPr="00C75F52" w:rsidRDefault="00C75F52">
                            <w:pPr>
                              <w:rPr>
                                <w:sz w:val="20"/>
                                <w:szCs w:val="20"/>
                                <w:lang w:val="ru-RU"/>
                              </w:rPr>
                            </w:pPr>
                            <w:r w:rsidRPr="00C75F52">
                              <w:rPr>
                                <w:b/>
                                <w:bCs/>
                                <w:sz w:val="20"/>
                                <w:szCs w:val="20"/>
                                <w:lang w:val="ru-RU"/>
                              </w:rPr>
                              <w:t>"</w:t>
                            </w:r>
                            <w:r>
                              <w:rPr>
                                <w:b/>
                                <w:bCs/>
                                <w:sz w:val="20"/>
                                <w:szCs w:val="20"/>
                                <w:lang w:val="ru-RU"/>
                              </w:rPr>
                              <w:t>И</w:t>
                            </w:r>
                            <w:r w:rsidRPr="00C75F52">
                              <w:rPr>
                                <w:b/>
                                <w:bCs/>
                                <w:sz w:val="20"/>
                                <w:szCs w:val="20"/>
                                <w:lang w:val="ru-RU"/>
                              </w:rPr>
                              <w:t>нициатор инструмента финансирования устойчивого развития или проекта устойчивого развития"</w:t>
                            </w:r>
                            <w:r>
                              <w:rPr>
                                <w:sz w:val="20"/>
                                <w:szCs w:val="20"/>
                                <w:lang w:val="ru-RU"/>
                              </w:rPr>
                              <w:t xml:space="preserve"> </w:t>
                            </w:r>
                            <w:r w:rsidRPr="00C75F52">
                              <w:rPr>
                                <w:sz w:val="20"/>
                                <w:szCs w:val="20"/>
                                <w:lang w:val="ru-RU"/>
                              </w:rPr>
                              <w:t xml:space="preserve">- юридическое лицо, публично-правовое образование, инициирующее реализацию проекта устойчивого развития, или юридическое лицо, реализующее (финансирующее) проект устойчивого развития (портфель проектов устойчивого развития) за счет денежных средств, привлеченных федеральными органами исполнительной власти, исполнительными органами субъектов </w:t>
                            </w:r>
                            <w:r>
                              <w:rPr>
                                <w:sz w:val="20"/>
                                <w:szCs w:val="20"/>
                                <w:lang w:val="ru-RU"/>
                              </w:rPr>
                              <w:t>РФ</w:t>
                            </w:r>
                            <w:r w:rsidRPr="00C75F52">
                              <w:rPr>
                                <w:sz w:val="20"/>
                                <w:szCs w:val="20"/>
                                <w:lang w:val="ru-RU"/>
                              </w:rPr>
                              <w:t xml:space="preserve"> или органами местного самоуправления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46C82" id="_x0000_s1030" type="#_x0000_t202" style="position:absolute;left:0;text-align:left;margin-left:-31.65pt;margin-top:.65pt;width:166.6pt;height:29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">
                <v:textbox>
                  <w:txbxContent>
                    <w:p w14:paraId="4EE5BB3C" w14:textId="3442D766" w:rsidR="00C75F52" w:rsidRPr="00C75F52" w:rsidRDefault="00C75F52">
                      <w:pPr>
                        <w:rPr>
                          <w:sz w:val="20"/>
                          <w:szCs w:val="20"/>
                          <w:lang w:val="ru-RU"/>
                        </w:rPr>
                      </w:pPr>
                      <w:r w:rsidRPr="00C75F52">
                        <w:rPr>
                          <w:b/>
                          <w:bCs/>
                          <w:sz w:val="20"/>
                          <w:szCs w:val="20"/>
                          <w:lang w:val="ru-RU"/>
                        </w:rPr>
                        <w:t>"</w:t>
                      </w:r>
                      <w:r>
                        <w:rPr>
                          <w:b/>
                          <w:bCs/>
                          <w:sz w:val="20"/>
                          <w:szCs w:val="20"/>
                          <w:lang w:val="ru-RU"/>
                        </w:rPr>
                        <w:t>И</w:t>
                      </w:r>
                      <w:r w:rsidRPr="00C75F52">
                        <w:rPr>
                          <w:b/>
                          <w:bCs/>
                          <w:sz w:val="20"/>
                          <w:szCs w:val="20"/>
                          <w:lang w:val="ru-RU"/>
                        </w:rPr>
                        <w:t>нициатор инструмента финансирования устойчивого развития или проекта устойчивого развития"</w:t>
                      </w:r>
                      <w:r>
                        <w:rPr>
                          <w:sz w:val="20"/>
                          <w:szCs w:val="20"/>
                          <w:lang w:val="ru-RU"/>
                        </w:rPr>
                        <w:t xml:space="preserve"> </w:t>
                      </w:r>
                      <w:r w:rsidRPr="00C75F52">
                        <w:rPr>
                          <w:sz w:val="20"/>
                          <w:szCs w:val="20"/>
                          <w:lang w:val="ru-RU"/>
                        </w:rPr>
                        <w:t xml:space="preserve">- юридическое лицо, публично-правовое образование, инициирующее реализацию проекта устойчивого развития, или юридическое лицо, реализующее (финансирующее) проект устойчивого развития (портфель проектов устойчивого развития) за счет денежных средств, привлеченных федеральными органами исполнительной власти, исполнительными органами субъектов </w:t>
                      </w:r>
                      <w:r>
                        <w:rPr>
                          <w:sz w:val="20"/>
                          <w:szCs w:val="20"/>
                          <w:lang w:val="ru-RU"/>
                        </w:rPr>
                        <w:t>РФ</w:t>
                      </w:r>
                      <w:r w:rsidRPr="00C75F52">
                        <w:rPr>
                          <w:sz w:val="20"/>
                          <w:szCs w:val="20"/>
                          <w:lang w:val="ru-RU"/>
                        </w:rPr>
                        <w:t xml:space="preserve"> или органами местного самоуправления</w:t>
                      </w:r>
                    </w:p>
                  </w:txbxContent>
                </v:textbox>
                <w10:wrap type="square"/>
              </v:shape>
            </w:pict>
          </mc:Fallback>
        </mc:AlternateContent>
      </w:r>
    </w:p>
    <w:p w14:paraId="5D76A3CA" w14:textId="6FFD1059" w:rsidR="00C75F52" w:rsidRDefault="00124F4C" w:rsidP="002C54B2">
      <w:pPr>
        <w:spacing w:line="360" w:lineRule="auto"/>
        <w:jc w:val="both"/>
        <w:rPr>
          <w:lang w:val="ru-RU"/>
        </w:rPr>
      </w:pPr>
      <w:r w:rsidRPr="00C75F52">
        <w:rPr>
          <w:noProof/>
          <w:lang w:val="ru-RU" w:eastAsia="ru-RU"/>
        </w:rPr>
        <mc:AlternateContent>
          <mc:Choice Requires="wps">
            <w:drawing>
              <wp:anchor distT="45720" distB="45720" distL="114300" distR="114300" simplePos="0" relativeHeight="251669504" behindDoc="0" locked="0" layoutInCell="1" allowOverlap="1" wp14:anchorId="30BF8F7E" wp14:editId="68C46F70">
                <wp:simplePos x="0" y="0"/>
                <wp:positionH relativeFrom="column">
                  <wp:posOffset>6866255</wp:posOffset>
                </wp:positionH>
                <wp:positionV relativeFrom="paragraph">
                  <wp:posOffset>655955</wp:posOffset>
                </wp:positionV>
                <wp:extent cx="2110105" cy="1897380"/>
                <wp:effectExtent l="0" t="0" r="23495" b="26670"/>
                <wp:wrapSquare wrapText="bothSides"/>
                <wp:docPr id="12636678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1897380"/>
                        </a:xfrm>
                        <a:prstGeom prst="rect">
                          <a:avLst/>
                        </a:prstGeom>
                        <a:solidFill>
                          <a:srgbClr val="FFFFFF"/>
                        </a:solidFill>
                        <a:ln w="9525">
                          <a:solidFill>
                            <a:srgbClr val="000000"/>
                          </a:solidFill>
                          <a:miter lim="800000"/>
                          <a:headEnd/>
                          <a:tailEnd/>
                        </a:ln>
                      </wps:spPr>
                      <wps:txbx>
                        <w:txbxContent>
                          <w:p w14:paraId="7870FD5F" w14:textId="570FA212" w:rsidR="00F918A6" w:rsidRDefault="00F918A6" w:rsidP="00F918A6">
                            <w:pPr>
                              <w:rPr>
                                <w:sz w:val="20"/>
                                <w:szCs w:val="20"/>
                                <w:lang w:val="ru-RU"/>
                              </w:rPr>
                            </w:pPr>
                            <w:r w:rsidRPr="00F918A6">
                              <w:rPr>
                                <w:b/>
                                <w:bCs/>
                                <w:sz w:val="20"/>
                                <w:szCs w:val="20"/>
                                <w:lang w:val="ru-RU"/>
                              </w:rPr>
                              <w:t>"</w:t>
                            </w:r>
                            <w:r>
                              <w:rPr>
                                <w:b/>
                                <w:bCs/>
                                <w:sz w:val="20"/>
                                <w:szCs w:val="20"/>
                                <w:lang w:val="ru-RU"/>
                              </w:rPr>
                              <w:t>Р</w:t>
                            </w:r>
                            <w:r w:rsidRPr="00F918A6">
                              <w:rPr>
                                <w:b/>
                                <w:bCs/>
                                <w:sz w:val="20"/>
                                <w:szCs w:val="20"/>
                                <w:lang w:val="ru-RU"/>
                              </w:rPr>
                              <w:t>егулярная отчетность"</w:t>
                            </w:r>
                            <w:r w:rsidRPr="00F918A6">
                              <w:rPr>
                                <w:b/>
                                <w:bCs/>
                                <w:sz w:val="20"/>
                                <w:szCs w:val="20"/>
                              </w:rPr>
                              <w:t> </w:t>
                            </w:r>
                            <w:r w:rsidRPr="00F918A6">
                              <w:rPr>
                                <w:sz w:val="20"/>
                                <w:szCs w:val="20"/>
                                <w:lang w:val="ru-RU"/>
                              </w:rPr>
                              <w:t>- отчет, формируемый и раскрываемый инициатором на регулярной основе в течение срока действия инструмента финансирования устойчивого развития</w:t>
                            </w:r>
                            <w:r w:rsidR="00B6653C">
                              <w:rPr>
                                <w:sz w:val="20"/>
                                <w:szCs w:val="20"/>
                                <w:lang w:val="ru-RU"/>
                              </w:rPr>
                              <w:t>:</w:t>
                            </w:r>
                          </w:p>
                          <w:p w14:paraId="31B29A35" w14:textId="02D601D3" w:rsidR="005C3A7E" w:rsidRDefault="00124F4C" w:rsidP="005C3A7E">
                            <w:pPr>
                              <w:pStyle w:val="a7"/>
                              <w:numPr>
                                <w:ilvl w:val="0"/>
                                <w:numId w:val="2"/>
                              </w:numPr>
                              <w:rPr>
                                <w:sz w:val="20"/>
                                <w:szCs w:val="20"/>
                                <w:lang w:val="ru-RU"/>
                              </w:rPr>
                            </w:pPr>
                            <w:r>
                              <w:rPr>
                                <w:sz w:val="20"/>
                                <w:szCs w:val="20"/>
                                <w:lang w:val="ru-RU"/>
                              </w:rPr>
                              <w:t>Ф</w:t>
                            </w:r>
                            <w:r w:rsidR="00B6653C">
                              <w:rPr>
                                <w:sz w:val="20"/>
                                <w:szCs w:val="20"/>
                                <w:lang w:val="ru-RU"/>
                              </w:rPr>
                              <w:t>инансовая</w:t>
                            </w:r>
                            <w:r>
                              <w:rPr>
                                <w:sz w:val="20"/>
                                <w:szCs w:val="20"/>
                                <w:lang w:val="ru-RU"/>
                              </w:rPr>
                              <w:t xml:space="preserve"> отчетность</w:t>
                            </w:r>
                          </w:p>
                          <w:p w14:paraId="34C4C9A0" w14:textId="5B3D0557" w:rsidR="00B6653C" w:rsidRPr="005C3A7E" w:rsidRDefault="00124F4C" w:rsidP="005C3A7E">
                            <w:pPr>
                              <w:pStyle w:val="a7"/>
                              <w:numPr>
                                <w:ilvl w:val="0"/>
                                <w:numId w:val="2"/>
                              </w:numPr>
                              <w:rPr>
                                <w:sz w:val="20"/>
                                <w:szCs w:val="20"/>
                                <w:lang w:val="ru-RU"/>
                              </w:rPr>
                            </w:pPr>
                            <w:r>
                              <w:rPr>
                                <w:sz w:val="20"/>
                                <w:szCs w:val="20"/>
                                <w:lang w:val="ru-RU"/>
                              </w:rPr>
                              <w:t>Отчетность</w:t>
                            </w:r>
                            <w:r w:rsidR="00B6653C">
                              <w:rPr>
                                <w:sz w:val="20"/>
                                <w:szCs w:val="20"/>
                                <w:lang w:val="ru-RU"/>
                              </w:rPr>
                              <w:t xml:space="preserve"> о результатах проекта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F8F7E" id="_x0000_s1031" type="#_x0000_t202" style="position:absolute;left:0;text-align:left;margin-left:540.65pt;margin-top:51.65pt;width:166.15pt;height:149.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">
                <v:textbox>
                  <w:txbxContent>
                    <w:p w14:paraId="7870FD5F" w14:textId="570FA212" w:rsidR="00F918A6" w:rsidRDefault="00F918A6" w:rsidP="00F918A6">
                      <w:pPr>
                        <w:rPr>
                          <w:sz w:val="20"/>
                          <w:szCs w:val="20"/>
                          <w:lang w:val="ru-RU"/>
                        </w:rPr>
                      </w:pPr>
                      <w:r w:rsidRPr="00F918A6">
                        <w:rPr>
                          <w:b/>
                          <w:bCs/>
                          <w:sz w:val="20"/>
                          <w:szCs w:val="20"/>
                          <w:lang w:val="ru-RU"/>
                        </w:rPr>
                        <w:t>"</w:t>
                      </w:r>
                      <w:r>
                        <w:rPr>
                          <w:b/>
                          <w:bCs/>
                          <w:sz w:val="20"/>
                          <w:szCs w:val="20"/>
                          <w:lang w:val="ru-RU"/>
                        </w:rPr>
                        <w:t>Р</w:t>
                      </w:r>
                      <w:r w:rsidRPr="00F918A6">
                        <w:rPr>
                          <w:b/>
                          <w:bCs/>
                          <w:sz w:val="20"/>
                          <w:szCs w:val="20"/>
                          <w:lang w:val="ru-RU"/>
                        </w:rPr>
                        <w:t>егулярная отчетность"</w:t>
                      </w:r>
                      <w:r w:rsidRPr="00F918A6">
                        <w:rPr>
                          <w:b/>
                          <w:bCs/>
                          <w:sz w:val="20"/>
                          <w:szCs w:val="20"/>
                        </w:rPr>
                        <w:t> </w:t>
                      </w:r>
                      <w:r w:rsidRPr="00F918A6">
                        <w:rPr>
                          <w:sz w:val="20"/>
                          <w:szCs w:val="20"/>
                          <w:lang w:val="ru-RU"/>
                        </w:rPr>
                        <w:t>- отчет, формируемый и раскрываемый инициатором на регулярной основе в течение срока действия инструмента финансирования устойчивого развития</w:t>
                      </w:r>
                      <w:r w:rsidR="00B6653C">
                        <w:rPr>
                          <w:sz w:val="20"/>
                          <w:szCs w:val="20"/>
                          <w:lang w:val="ru-RU"/>
                        </w:rPr>
                        <w:t>:</w:t>
                      </w:r>
                    </w:p>
                    <w:p w14:paraId="31B29A35" w14:textId="02D601D3" w:rsidR="005C3A7E" w:rsidRDefault="00124F4C" w:rsidP="005C3A7E">
                      <w:pPr>
                        <w:pStyle w:val="a7"/>
                        <w:numPr>
                          <w:ilvl w:val="0"/>
                          <w:numId w:val="2"/>
                        </w:numPr>
                        <w:rPr>
                          <w:sz w:val="20"/>
                          <w:szCs w:val="20"/>
                          <w:lang w:val="ru-RU"/>
                        </w:rPr>
                      </w:pPr>
                      <w:r>
                        <w:rPr>
                          <w:sz w:val="20"/>
                          <w:szCs w:val="20"/>
                          <w:lang w:val="ru-RU"/>
                        </w:rPr>
                        <w:t>Ф</w:t>
                      </w:r>
                      <w:r w:rsidR="00B6653C">
                        <w:rPr>
                          <w:sz w:val="20"/>
                          <w:szCs w:val="20"/>
                          <w:lang w:val="ru-RU"/>
                        </w:rPr>
                        <w:t>инансовая</w:t>
                      </w:r>
                      <w:r>
                        <w:rPr>
                          <w:sz w:val="20"/>
                          <w:szCs w:val="20"/>
                          <w:lang w:val="ru-RU"/>
                        </w:rPr>
                        <w:t xml:space="preserve"> отчетность</w:t>
                      </w:r>
                    </w:p>
                    <w:p w14:paraId="34C4C9A0" w14:textId="5B3D0557" w:rsidR="00B6653C" w:rsidRPr="005C3A7E" w:rsidRDefault="00124F4C" w:rsidP="005C3A7E">
                      <w:pPr>
                        <w:pStyle w:val="a7"/>
                        <w:numPr>
                          <w:ilvl w:val="0"/>
                          <w:numId w:val="2"/>
                        </w:numPr>
                        <w:rPr>
                          <w:sz w:val="20"/>
                          <w:szCs w:val="20"/>
                          <w:lang w:val="ru-RU"/>
                        </w:rPr>
                      </w:pPr>
                      <w:r>
                        <w:rPr>
                          <w:sz w:val="20"/>
                          <w:szCs w:val="20"/>
                          <w:lang w:val="ru-RU"/>
                        </w:rPr>
                        <w:t>Отчетность</w:t>
                      </w:r>
                      <w:r w:rsidR="00B6653C">
                        <w:rPr>
                          <w:sz w:val="20"/>
                          <w:szCs w:val="20"/>
                          <w:lang w:val="ru-RU"/>
                        </w:rPr>
                        <w:t xml:space="preserve"> о результатах проекта</w:t>
                      </w:r>
                    </w:p>
                  </w:txbxContent>
                </v:textbox>
                <w10:wrap type="square"/>
              </v:shape>
            </w:pict>
          </mc:Fallback>
        </mc:AlternateContent>
      </w:r>
      <w:r w:rsidR="009315E9">
        <w:rPr>
          <w:noProof/>
          <w:lang w:val="ru-RU" w:eastAsia="ru-RU"/>
        </w:rPr>
        <mc:AlternateContent>
          <mc:Choice Requires="wps">
            <w:drawing>
              <wp:anchor distT="0" distB="0" distL="114300" distR="114300" simplePos="0" relativeHeight="251692032" behindDoc="0" locked="0" layoutInCell="1" allowOverlap="1" wp14:anchorId="54AAC84F" wp14:editId="64F8992B">
                <wp:simplePos x="0" y="0"/>
                <wp:positionH relativeFrom="column">
                  <wp:posOffset>3001060</wp:posOffset>
                </wp:positionH>
                <wp:positionV relativeFrom="paragraph">
                  <wp:posOffset>527881</wp:posOffset>
                </wp:positionV>
                <wp:extent cx="223444" cy="135525"/>
                <wp:effectExtent l="24765" t="0" r="30480" b="30480"/>
                <wp:wrapNone/>
                <wp:docPr id="203368454" name="Flèche : droite 2"/>
                <wp:cNvGraphicFramePr/>
                <a:graphic xmlns:a="http://schemas.openxmlformats.org/drawingml/2006/main">
                  <a:graphicData uri="http://schemas.microsoft.com/office/word/2010/wordprocessingShape">
                    <wps:wsp>
                      <wps:cNvSpPr/>
                      <wps:spPr>
                        <a:xfrm rot="5400000">
                          <a:off x="0" y="0"/>
                          <a:ext cx="223444" cy="13552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A25BBD7" id="Flèche : droite 2" o:spid="_x0000_s1026" type="#_x0000_t13" style="position:absolute;margin-left:236.3pt;margin-top:41.55pt;width:17.6pt;height:10.6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" adj="15049" fillcolor="#156082 [3204]" strokecolor="#030e13 [484]" strokeweight="1pt"/>
            </w:pict>
          </mc:Fallback>
        </mc:AlternateContent>
      </w:r>
      <w:r w:rsidR="00D20BBF" w:rsidRPr="00C75F52">
        <w:rPr>
          <w:noProof/>
          <w:lang w:val="ru-RU" w:eastAsia="ru-RU"/>
        </w:rPr>
        <mc:AlternateContent>
          <mc:Choice Requires="wps">
            <w:drawing>
              <wp:anchor distT="45720" distB="45720" distL="114300" distR="114300" simplePos="0" relativeHeight="251661312" behindDoc="0" locked="0" layoutInCell="1" allowOverlap="1" wp14:anchorId="0AD77391" wp14:editId="0CAE4D9E">
                <wp:simplePos x="0" y="0"/>
                <wp:positionH relativeFrom="column">
                  <wp:posOffset>2099115</wp:posOffset>
                </wp:positionH>
                <wp:positionV relativeFrom="paragraph">
                  <wp:posOffset>717794</wp:posOffset>
                </wp:positionV>
                <wp:extent cx="2057400" cy="1858010"/>
                <wp:effectExtent l="0" t="0" r="19050" b="27940"/>
                <wp:wrapSquare wrapText="bothSides"/>
                <wp:docPr id="19794993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858010"/>
                        </a:xfrm>
                        <a:prstGeom prst="rect">
                          <a:avLst/>
                        </a:prstGeom>
                        <a:solidFill>
                          <a:srgbClr val="FFFFFF"/>
                        </a:solidFill>
                        <a:ln w="9525">
                          <a:solidFill>
                            <a:srgbClr val="000000"/>
                          </a:solidFill>
                          <a:miter lim="800000"/>
                          <a:headEnd/>
                          <a:tailEnd/>
                        </a:ln>
                      </wps:spPr>
                      <wps:txbx>
                        <w:txbxContent>
                          <w:p w14:paraId="45067ACC" w14:textId="2DA2886F" w:rsidR="00C75F52" w:rsidRPr="00C75F52" w:rsidRDefault="00C75F52" w:rsidP="00C75F52">
                            <w:pPr>
                              <w:rPr>
                                <w:sz w:val="20"/>
                                <w:szCs w:val="20"/>
                                <w:lang w:val="ru-RU"/>
                              </w:rPr>
                            </w:pPr>
                            <w:r w:rsidRPr="00C75F52">
                              <w:rPr>
                                <w:b/>
                                <w:bCs/>
                                <w:sz w:val="20"/>
                                <w:szCs w:val="20"/>
                                <w:lang w:val="ru-RU"/>
                              </w:rPr>
                              <w:t>"</w:t>
                            </w:r>
                            <w:r>
                              <w:rPr>
                                <w:b/>
                                <w:bCs/>
                                <w:sz w:val="20"/>
                                <w:szCs w:val="20"/>
                                <w:lang w:val="ru-RU"/>
                              </w:rPr>
                              <w:t>П</w:t>
                            </w:r>
                            <w:r w:rsidRPr="00C75F52">
                              <w:rPr>
                                <w:b/>
                                <w:bCs/>
                                <w:sz w:val="20"/>
                                <w:szCs w:val="20"/>
                                <w:lang w:val="ru-RU"/>
                              </w:rPr>
                              <w:t>роект устойчивого развития"</w:t>
                            </w:r>
                            <w:r w:rsidRPr="00C75F52">
                              <w:rPr>
                                <w:b/>
                                <w:bCs/>
                                <w:sz w:val="20"/>
                                <w:szCs w:val="20"/>
                              </w:rPr>
                              <w:t> </w:t>
                            </w:r>
                            <w:r w:rsidRPr="00C75F52">
                              <w:rPr>
                                <w:sz w:val="20"/>
                                <w:szCs w:val="20"/>
                                <w:lang w:val="ru-RU"/>
                              </w:rPr>
                              <w:t xml:space="preserve">- зеленый проект, адаптационный проект или социальный проект, соответствующие определениям </w:t>
                            </w:r>
                            <w:r w:rsidR="00F918A6">
                              <w:rPr>
                                <w:sz w:val="20"/>
                                <w:szCs w:val="20"/>
                                <w:lang w:val="ru-RU"/>
                              </w:rPr>
                              <w:t>и критерия</w:t>
                            </w:r>
                            <w:r w:rsidR="008E5F58">
                              <w:rPr>
                                <w:sz w:val="20"/>
                                <w:szCs w:val="20"/>
                                <w:lang w:val="ru-RU"/>
                              </w:rPr>
                              <w:t>м</w:t>
                            </w:r>
                            <w:r w:rsidR="00F918A6">
                              <w:rPr>
                                <w:sz w:val="20"/>
                                <w:szCs w:val="20"/>
                                <w:lang w:val="ru-RU"/>
                              </w:rPr>
                              <w:t xml:space="preserve"> </w:t>
                            </w:r>
                            <w:r w:rsidRPr="00C75F52">
                              <w:rPr>
                                <w:sz w:val="20"/>
                                <w:szCs w:val="20"/>
                                <w:lang w:val="ru-RU"/>
                              </w:rPr>
                              <w:t>зеленых, адаптационных или социальных проектов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77391" id="_x0000_s1032" type="#_x0000_t202" style="position:absolute;left:0;text-align:left;margin-left:165.3pt;margin-top:56.5pt;width:162pt;height:14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">
                <v:textbox>
                  <w:txbxContent>
                    <w:p w14:paraId="45067ACC" w14:textId="2DA2886F" w:rsidR="00C75F52" w:rsidRPr="00C75F52" w:rsidRDefault="00C75F52" w:rsidP="00C75F52">
                      <w:pPr>
                        <w:rPr>
                          <w:sz w:val="20"/>
                          <w:szCs w:val="20"/>
                          <w:lang w:val="ru-RU"/>
                        </w:rPr>
                      </w:pPr>
                      <w:r w:rsidRPr="00C75F52">
                        <w:rPr>
                          <w:b/>
                          <w:bCs/>
                          <w:sz w:val="20"/>
                          <w:szCs w:val="20"/>
                          <w:lang w:val="ru-RU"/>
                        </w:rPr>
                        <w:t>"</w:t>
                      </w:r>
                      <w:r>
                        <w:rPr>
                          <w:b/>
                          <w:bCs/>
                          <w:sz w:val="20"/>
                          <w:szCs w:val="20"/>
                          <w:lang w:val="ru-RU"/>
                        </w:rPr>
                        <w:t>П</w:t>
                      </w:r>
                      <w:r w:rsidRPr="00C75F52">
                        <w:rPr>
                          <w:b/>
                          <w:bCs/>
                          <w:sz w:val="20"/>
                          <w:szCs w:val="20"/>
                          <w:lang w:val="ru-RU"/>
                        </w:rPr>
                        <w:t>роект устойчивого развития"</w:t>
                      </w:r>
                      <w:r w:rsidRPr="00C75F52">
                        <w:rPr>
                          <w:b/>
                          <w:bCs/>
                          <w:sz w:val="20"/>
                          <w:szCs w:val="20"/>
                        </w:rPr>
                        <w:t> </w:t>
                      </w:r>
                      <w:r w:rsidRPr="00C75F52">
                        <w:rPr>
                          <w:sz w:val="20"/>
                          <w:szCs w:val="20"/>
                          <w:lang w:val="ru-RU"/>
                        </w:rPr>
                        <w:t xml:space="preserve">- зеленый проект, адаптационный проект или социальный проект, соответствующие определениям </w:t>
                      </w:r>
                      <w:r w:rsidR="00F918A6">
                        <w:rPr>
                          <w:sz w:val="20"/>
                          <w:szCs w:val="20"/>
                          <w:lang w:val="ru-RU"/>
                        </w:rPr>
                        <w:t>и критерия</w:t>
                      </w:r>
                      <w:r w:rsidR="008E5F58">
                        <w:rPr>
                          <w:sz w:val="20"/>
                          <w:szCs w:val="20"/>
                          <w:lang w:val="ru-RU"/>
                        </w:rPr>
                        <w:t>м</w:t>
                      </w:r>
                      <w:r w:rsidR="00F918A6">
                        <w:rPr>
                          <w:sz w:val="20"/>
                          <w:szCs w:val="20"/>
                          <w:lang w:val="ru-RU"/>
                        </w:rPr>
                        <w:t xml:space="preserve"> </w:t>
                      </w:r>
                      <w:r w:rsidRPr="00C75F52">
                        <w:rPr>
                          <w:sz w:val="20"/>
                          <w:szCs w:val="20"/>
                          <w:lang w:val="ru-RU"/>
                        </w:rPr>
                        <w:t>зеленых, адаптационных или социальных проектов</w:t>
                      </w:r>
                    </w:p>
                  </w:txbxContent>
                </v:textbox>
                <w10:wrap type="square"/>
              </v:shape>
            </w:pict>
          </mc:Fallback>
        </mc:AlternateContent>
      </w:r>
    </w:p>
    <w:p w14:paraId="78D617D9" w14:textId="6F99527D" w:rsidR="00C75F52" w:rsidRDefault="009A16F8" w:rsidP="002C54B2">
      <w:pPr>
        <w:spacing w:line="360" w:lineRule="auto"/>
        <w:jc w:val="both"/>
        <w:rPr>
          <w:lang w:val="ru-RU"/>
        </w:rPr>
      </w:pPr>
      <w:r>
        <w:rPr>
          <w:noProof/>
          <w:lang w:val="ru-RU" w:eastAsia="ru-RU"/>
        </w:rPr>
        <mc:AlternateContent>
          <mc:Choice Requires="wps">
            <w:drawing>
              <wp:anchor distT="0" distB="0" distL="114300" distR="114300" simplePos="0" relativeHeight="251679744" behindDoc="0" locked="0" layoutInCell="1" allowOverlap="1" wp14:anchorId="5B02741F" wp14:editId="48A5522D">
                <wp:simplePos x="0" y="0"/>
                <wp:positionH relativeFrom="column">
                  <wp:posOffset>1719580</wp:posOffset>
                </wp:positionH>
                <wp:positionV relativeFrom="paragraph">
                  <wp:posOffset>1372382</wp:posOffset>
                </wp:positionV>
                <wp:extent cx="381000" cy="181708"/>
                <wp:effectExtent l="0" t="19050" r="38100" b="46990"/>
                <wp:wrapNone/>
                <wp:docPr id="648017754" name="Flèche : droite 2"/>
                <wp:cNvGraphicFramePr/>
                <a:graphic xmlns:a="http://schemas.openxmlformats.org/drawingml/2006/main">
                  <a:graphicData uri="http://schemas.microsoft.com/office/word/2010/wordprocessingShape">
                    <wps:wsp>
                      <wps:cNvSpPr/>
                      <wps:spPr>
                        <a:xfrm>
                          <a:off x="0" y="0"/>
                          <a:ext cx="381000" cy="181708"/>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F78A765" id="Flèche : droite 2" o:spid="_x0000_s1026" type="#_x0000_t13" style="position:absolute;margin-left:135.4pt;margin-top:108.05pt;width:30pt;height:14.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" adj="16449" fillcolor="#156082 [3204]" strokecolor="#030e13 [484]" strokeweight="1pt"/>
            </w:pict>
          </mc:Fallback>
        </mc:AlternateContent>
      </w:r>
      <w:r>
        <w:rPr>
          <w:noProof/>
          <w:lang w:val="ru-RU" w:eastAsia="ru-RU"/>
        </w:rPr>
        <mc:AlternateContent>
          <mc:Choice Requires="wps">
            <w:drawing>
              <wp:anchor distT="0" distB="0" distL="114300" distR="114300" simplePos="0" relativeHeight="251685888" behindDoc="0" locked="0" layoutInCell="1" allowOverlap="1" wp14:anchorId="0D5E163C" wp14:editId="1F953776">
                <wp:simplePos x="0" y="0"/>
                <wp:positionH relativeFrom="column">
                  <wp:posOffset>4170435</wp:posOffset>
                </wp:positionH>
                <wp:positionV relativeFrom="paragraph">
                  <wp:posOffset>1409651</wp:posOffset>
                </wp:positionV>
                <wp:extent cx="2696307" cy="162658"/>
                <wp:effectExtent l="0" t="19050" r="46990" b="46990"/>
                <wp:wrapNone/>
                <wp:docPr id="320463697" name="Flèche : droite 2"/>
                <wp:cNvGraphicFramePr/>
                <a:graphic xmlns:a="http://schemas.openxmlformats.org/drawingml/2006/main">
                  <a:graphicData uri="http://schemas.microsoft.com/office/word/2010/wordprocessingShape">
                    <wps:wsp>
                      <wps:cNvSpPr/>
                      <wps:spPr>
                        <a:xfrm>
                          <a:off x="0" y="0"/>
                          <a:ext cx="2696307" cy="162658"/>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117649A" id="Flèche : droite 2" o:spid="_x0000_s1026" type="#_x0000_t13" style="position:absolute;margin-left:328.4pt;margin-top:111pt;width:212.3pt;height:1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" adj="20948" fillcolor="#156082 [3204]" strokecolor="#030e13 [484]" strokeweight="1pt"/>
            </w:pict>
          </mc:Fallback>
        </mc:AlternateContent>
      </w:r>
    </w:p>
    <w:p w14:paraId="2DCC4434" w14:textId="13486024" w:rsidR="00C75F52" w:rsidRDefault="00C75F52" w:rsidP="002C54B2">
      <w:pPr>
        <w:spacing w:line="360" w:lineRule="auto"/>
        <w:jc w:val="both"/>
        <w:rPr>
          <w:lang w:val="ru-RU"/>
        </w:rPr>
      </w:pPr>
    </w:p>
    <w:p w14:paraId="73CA86B6" w14:textId="4FF83D5C" w:rsidR="00C75F52" w:rsidRDefault="00375113" w:rsidP="002C54B2">
      <w:pPr>
        <w:spacing w:line="360" w:lineRule="auto"/>
        <w:jc w:val="both"/>
        <w:rPr>
          <w:lang w:val="ru-RU"/>
        </w:rPr>
      </w:pPr>
      <w:r>
        <w:rPr>
          <w:lang w:val="ru-RU"/>
        </w:rPr>
        <w:t xml:space="preserve">Источник: подготовлено на основе </w:t>
      </w:r>
      <w:r w:rsidR="00705975">
        <w:rPr>
          <w:lang w:val="ru-RU"/>
        </w:rPr>
        <w:t xml:space="preserve">информации из </w:t>
      </w:r>
      <w:r w:rsidRPr="00375113">
        <w:rPr>
          <w:lang w:val="ru-RU"/>
        </w:rPr>
        <w:t>постановлени</w:t>
      </w:r>
      <w:r>
        <w:rPr>
          <w:lang w:val="ru-RU"/>
        </w:rPr>
        <w:t xml:space="preserve">я </w:t>
      </w:r>
      <w:r w:rsidRPr="00375113">
        <w:rPr>
          <w:lang w:val="ru-RU"/>
        </w:rPr>
        <w:t>Правительства</w:t>
      </w:r>
      <w:r>
        <w:rPr>
          <w:lang w:val="ru-RU"/>
        </w:rPr>
        <w:t xml:space="preserve"> </w:t>
      </w:r>
      <w:r w:rsidRPr="00375113">
        <w:rPr>
          <w:lang w:val="ru-RU"/>
        </w:rPr>
        <w:t>Российской Федерации</w:t>
      </w:r>
      <w:r>
        <w:rPr>
          <w:lang w:val="ru-RU"/>
        </w:rPr>
        <w:t xml:space="preserve"> </w:t>
      </w:r>
      <w:r w:rsidRPr="00375113">
        <w:rPr>
          <w:lang w:val="ru-RU"/>
        </w:rPr>
        <w:t>от 21 сентября 2021 г. N 1587</w:t>
      </w:r>
      <w:r>
        <w:rPr>
          <w:lang w:val="ru-RU"/>
        </w:rPr>
        <w:t xml:space="preserve"> (в редакции </w:t>
      </w:r>
      <w:r w:rsidRPr="00375113">
        <w:rPr>
          <w:lang w:val="ru-RU"/>
        </w:rPr>
        <w:t>30 декабря 2023 г.</w:t>
      </w:r>
      <w:r>
        <w:rPr>
          <w:lang w:val="ru-RU"/>
        </w:rPr>
        <w:t>).</w:t>
      </w:r>
    </w:p>
    <w:p w14:paraId="5A077704" w14:textId="77777777" w:rsidR="00C75F52" w:rsidRDefault="00C75F52" w:rsidP="002C54B2">
      <w:pPr>
        <w:spacing w:line="360" w:lineRule="auto"/>
        <w:jc w:val="both"/>
        <w:rPr>
          <w:lang w:val="ru-RU"/>
        </w:rPr>
      </w:pPr>
    </w:p>
    <w:p w14:paraId="63DE76D1" w14:textId="77777777" w:rsidR="00C75F52" w:rsidRDefault="00C75F52" w:rsidP="002C54B2">
      <w:pPr>
        <w:spacing w:line="360" w:lineRule="auto"/>
        <w:jc w:val="both"/>
        <w:rPr>
          <w:lang w:val="ru-RU"/>
        </w:rPr>
        <w:sectPr w:rsidR="00C75F52" w:rsidSect="00C75F52">
          <w:pgSz w:w="16838" w:h="11906" w:orient="landscape"/>
          <w:pgMar w:top="1417" w:right="1417" w:bottom="1417" w:left="1417" w:header="708" w:footer="708" w:gutter="0"/>
          <w:cols w:space="708"/>
          <w:docGrid w:linePitch="360"/>
        </w:sectPr>
      </w:pPr>
    </w:p>
    <w:p w14:paraId="781FFDAE" w14:textId="60B551F7" w:rsidR="00A43F00" w:rsidRPr="00A43F00" w:rsidRDefault="00A43F00" w:rsidP="002C54B2">
      <w:pPr>
        <w:spacing w:line="360" w:lineRule="auto"/>
        <w:jc w:val="both"/>
        <w:rPr>
          <w:lang w:val="ru-RU"/>
        </w:rPr>
      </w:pPr>
      <w:r w:rsidRPr="00A43F00">
        <w:rPr>
          <w:lang w:val="ru-RU"/>
        </w:rPr>
        <w:lastRenderedPageBreak/>
        <w:t>4. Управление средствами:</w:t>
      </w:r>
    </w:p>
    <w:p w14:paraId="7E53F78A" w14:textId="60438002" w:rsidR="00A43F00" w:rsidRPr="00A43F00" w:rsidRDefault="00A43F00" w:rsidP="002C54B2">
      <w:pPr>
        <w:spacing w:line="360" w:lineRule="auto"/>
        <w:jc w:val="both"/>
        <w:rPr>
          <w:lang w:val="ru-RU"/>
        </w:rPr>
      </w:pPr>
      <w:r w:rsidRPr="00A43F00">
        <w:rPr>
          <w:lang w:val="ru-RU"/>
        </w:rPr>
        <w:t>- Средства должны быть направлены на проекты в течение 24 месяцев с момента выпуска</w:t>
      </w:r>
      <w:r>
        <w:rPr>
          <w:lang w:val="ru-RU"/>
        </w:rPr>
        <w:t>;</w:t>
      </w:r>
    </w:p>
    <w:p w14:paraId="764C68BC" w14:textId="1892AB70" w:rsidR="00A43F00" w:rsidRPr="00A43F00" w:rsidRDefault="00A43F00" w:rsidP="002C54B2">
      <w:pPr>
        <w:spacing w:line="360" w:lineRule="auto"/>
        <w:jc w:val="both"/>
        <w:rPr>
          <w:lang w:val="ru-RU"/>
        </w:rPr>
      </w:pPr>
      <w:r w:rsidRPr="00A43F00">
        <w:rPr>
          <w:lang w:val="ru-RU"/>
        </w:rPr>
        <w:t>- Временно свободные средства размещаются согласно политике инициатора</w:t>
      </w:r>
      <w:r>
        <w:rPr>
          <w:lang w:val="ru-RU"/>
        </w:rPr>
        <w:t>;</w:t>
      </w:r>
    </w:p>
    <w:p w14:paraId="6C5ADB05" w14:textId="4DC7B1F1" w:rsidR="00A43F00" w:rsidRPr="00A43F00" w:rsidRDefault="00A43F00" w:rsidP="002C54B2">
      <w:pPr>
        <w:spacing w:line="360" w:lineRule="auto"/>
        <w:jc w:val="both"/>
        <w:rPr>
          <w:lang w:val="ru-RU"/>
        </w:rPr>
      </w:pPr>
      <w:r w:rsidRPr="00A43F00">
        <w:rPr>
          <w:lang w:val="ru-RU"/>
        </w:rPr>
        <w:t>- Обязательна регулярная публичная отчетность об использовании средств</w:t>
      </w:r>
      <w:r>
        <w:rPr>
          <w:lang w:val="ru-RU"/>
        </w:rPr>
        <w:t>.</w:t>
      </w:r>
    </w:p>
    <w:p w14:paraId="695BA357" w14:textId="0F6150FF" w:rsidR="00A43F00" w:rsidRPr="00A43F00" w:rsidRDefault="00A43F00" w:rsidP="002C54B2">
      <w:pPr>
        <w:spacing w:line="360" w:lineRule="auto"/>
        <w:jc w:val="both"/>
        <w:rPr>
          <w:lang w:val="ru-RU"/>
        </w:rPr>
      </w:pPr>
      <w:r w:rsidRPr="00A43F00">
        <w:rPr>
          <w:lang w:val="ru-RU"/>
        </w:rPr>
        <w:t>Все условия регулируются Постановлением Правительства РФ №1587 от 21.09.2021 и сопутствующими нормативными актами.</w:t>
      </w:r>
    </w:p>
    <w:p w14:paraId="344D8A75" w14:textId="77777777" w:rsidR="004453A7" w:rsidRDefault="004453A7" w:rsidP="002C54B2">
      <w:pPr>
        <w:spacing w:line="360" w:lineRule="auto"/>
        <w:jc w:val="both"/>
        <w:rPr>
          <w:lang w:val="ru-RU"/>
        </w:rPr>
      </w:pPr>
      <w:r>
        <w:rPr>
          <w:lang w:val="ru-RU"/>
        </w:rPr>
        <w:t>В</w:t>
      </w:r>
      <w:r w:rsidRPr="004453A7">
        <w:rPr>
          <w:lang w:val="ru-RU"/>
        </w:rPr>
        <w:t>ерификатор проводит все этапы верификации, с выпуском заключения по результатам проведения каждого этапа верификации (может проводиться по запросу федеральных органов исполнительной власти, а также исполнительных органов субъектов Российской Федерации или органов местного самоуправления, в том числе в целях получения мер государственной поддержки инструмента финансирования устойчивого развития)</w:t>
      </w:r>
      <w:r>
        <w:rPr>
          <w:lang w:val="ru-RU"/>
        </w:rPr>
        <w:t>.</w:t>
      </w:r>
    </w:p>
    <w:p w14:paraId="07E67A0B" w14:textId="74DE618E" w:rsidR="004453A7" w:rsidRPr="004453A7" w:rsidRDefault="004453A7" w:rsidP="002C54B2">
      <w:pPr>
        <w:spacing w:line="360" w:lineRule="auto"/>
        <w:jc w:val="both"/>
        <w:rPr>
          <w:lang w:val="ru-RU"/>
        </w:rPr>
      </w:pPr>
      <w:r w:rsidRPr="004453A7">
        <w:rPr>
          <w:lang w:val="ru-RU"/>
        </w:rPr>
        <w:t xml:space="preserve">Процедура верификации </w:t>
      </w:r>
      <w:r w:rsidRPr="004453A7">
        <w:rPr>
          <w:b/>
          <w:bCs/>
          <w:lang w:val="ru-RU"/>
        </w:rPr>
        <w:t>на этапе определения соответствия</w:t>
      </w:r>
      <w:r w:rsidRPr="004453A7">
        <w:rPr>
          <w:lang w:val="ru-RU"/>
        </w:rPr>
        <w:t xml:space="preserve"> </w:t>
      </w:r>
      <w:r>
        <w:rPr>
          <w:lang w:val="ru-RU"/>
        </w:rPr>
        <w:t xml:space="preserve">критериям </w:t>
      </w:r>
      <w:r w:rsidRPr="004453A7">
        <w:rPr>
          <w:lang w:val="ru-RU"/>
        </w:rPr>
        <w:t>включает комплексную оценку по следующим направлениям:</w:t>
      </w:r>
    </w:p>
    <w:p w14:paraId="733F8ADE" w14:textId="3D82DCF1" w:rsidR="004453A7" w:rsidRPr="004453A7" w:rsidRDefault="004453A7" w:rsidP="002C54B2">
      <w:pPr>
        <w:spacing w:line="360" w:lineRule="auto"/>
        <w:jc w:val="both"/>
        <w:rPr>
          <w:lang w:val="ru-RU"/>
        </w:rPr>
      </w:pPr>
      <w:r w:rsidRPr="004453A7">
        <w:rPr>
          <w:lang w:val="ru-RU"/>
        </w:rPr>
        <w:t>1. Оценка соответствия проекта критериям устойчивого развития:</w:t>
      </w:r>
    </w:p>
    <w:p w14:paraId="67BF5551" w14:textId="77777777" w:rsidR="004453A7" w:rsidRPr="004453A7" w:rsidRDefault="004453A7" w:rsidP="002C54B2">
      <w:pPr>
        <w:spacing w:line="360" w:lineRule="auto"/>
        <w:jc w:val="both"/>
        <w:rPr>
          <w:lang w:val="ru-RU"/>
        </w:rPr>
      </w:pPr>
      <w:r w:rsidRPr="004453A7">
        <w:rPr>
          <w:lang w:val="ru-RU"/>
        </w:rPr>
        <w:t>- Проверка соответствия проекта одному или нескольким критериям из утвержденных направлений</w:t>
      </w:r>
    </w:p>
    <w:p w14:paraId="3238E935" w14:textId="77777777" w:rsidR="004453A7" w:rsidRPr="004453A7" w:rsidRDefault="004453A7" w:rsidP="002C54B2">
      <w:pPr>
        <w:spacing w:line="360" w:lineRule="auto"/>
        <w:jc w:val="both"/>
        <w:rPr>
          <w:lang w:val="ru-RU"/>
        </w:rPr>
      </w:pPr>
      <w:r w:rsidRPr="004453A7">
        <w:rPr>
          <w:lang w:val="ru-RU"/>
        </w:rPr>
        <w:t>- Подтверждение заявленного типа финансового инструмента (зеленые, социальные, адаптационные облигации или облигации устойчивого развития)</w:t>
      </w:r>
    </w:p>
    <w:p w14:paraId="4C57557E" w14:textId="77777777" w:rsidR="004453A7" w:rsidRPr="004453A7" w:rsidRDefault="004453A7" w:rsidP="002C54B2">
      <w:pPr>
        <w:spacing w:line="360" w:lineRule="auto"/>
        <w:jc w:val="both"/>
        <w:rPr>
          <w:lang w:val="ru-RU"/>
        </w:rPr>
      </w:pPr>
      <w:r w:rsidRPr="004453A7">
        <w:rPr>
          <w:lang w:val="ru-RU"/>
        </w:rPr>
        <w:t>- Для облигаций - оценка соответствия требованиям Банка России по эмиссии (за исключением государственных и муниципальных бумаг)</w:t>
      </w:r>
    </w:p>
    <w:p w14:paraId="02807089" w14:textId="4E6C5179" w:rsidR="004453A7" w:rsidRPr="004453A7" w:rsidRDefault="004453A7" w:rsidP="002C54B2">
      <w:pPr>
        <w:spacing w:line="360" w:lineRule="auto"/>
        <w:jc w:val="both"/>
        <w:rPr>
          <w:lang w:val="ru-RU"/>
        </w:rPr>
      </w:pPr>
      <w:r w:rsidRPr="004453A7">
        <w:rPr>
          <w:lang w:val="ru-RU"/>
        </w:rPr>
        <w:t>2. Анализ документации:</w:t>
      </w:r>
    </w:p>
    <w:p w14:paraId="2321AA71" w14:textId="5A7A642F" w:rsidR="004453A7" w:rsidRPr="004453A7" w:rsidRDefault="004453A7" w:rsidP="002C54B2">
      <w:pPr>
        <w:spacing w:line="360" w:lineRule="auto"/>
        <w:jc w:val="both"/>
        <w:rPr>
          <w:lang w:val="ru-RU"/>
        </w:rPr>
      </w:pPr>
      <w:r w:rsidRPr="004453A7">
        <w:rPr>
          <w:lang w:val="ru-RU"/>
        </w:rPr>
        <w:t>- Проверка наличия в проспекте облигаций, кредитных договорах и сопутствующих документах</w:t>
      </w:r>
      <w:r>
        <w:rPr>
          <w:lang w:val="ru-RU"/>
        </w:rPr>
        <w:t xml:space="preserve"> м</w:t>
      </w:r>
      <w:r w:rsidRPr="004453A7">
        <w:rPr>
          <w:lang w:val="ru-RU"/>
        </w:rPr>
        <w:t>ер ответственности за несоответствие требованиям</w:t>
      </w:r>
      <w:r>
        <w:rPr>
          <w:lang w:val="ru-RU"/>
        </w:rPr>
        <w:t>, у</w:t>
      </w:r>
      <w:r w:rsidRPr="004453A7">
        <w:rPr>
          <w:lang w:val="ru-RU"/>
        </w:rPr>
        <w:t>словий целевого использования средств</w:t>
      </w:r>
      <w:r>
        <w:rPr>
          <w:lang w:val="ru-RU"/>
        </w:rPr>
        <w:t>.</w:t>
      </w:r>
    </w:p>
    <w:p w14:paraId="5D947C0D" w14:textId="77777777" w:rsidR="004453A7" w:rsidRPr="004453A7" w:rsidRDefault="004453A7" w:rsidP="002C54B2">
      <w:pPr>
        <w:spacing w:line="360" w:lineRule="auto"/>
        <w:jc w:val="both"/>
        <w:rPr>
          <w:lang w:val="ru-RU"/>
        </w:rPr>
      </w:pPr>
      <w:r w:rsidRPr="004453A7">
        <w:rPr>
          <w:lang w:val="ru-RU"/>
        </w:rPr>
        <w:t>- Анализ внутренних политик и процедур инициатора:</w:t>
      </w:r>
    </w:p>
    <w:p w14:paraId="2467F81C" w14:textId="2462546A" w:rsidR="004453A7" w:rsidRPr="004453A7" w:rsidRDefault="004453A7" w:rsidP="002C54B2">
      <w:pPr>
        <w:pStyle w:val="a7"/>
        <w:numPr>
          <w:ilvl w:val="0"/>
          <w:numId w:val="4"/>
        </w:numPr>
        <w:spacing w:line="360" w:lineRule="auto"/>
        <w:jc w:val="both"/>
        <w:rPr>
          <w:lang w:val="ru-RU"/>
        </w:rPr>
      </w:pPr>
      <w:r w:rsidRPr="004453A7">
        <w:rPr>
          <w:lang w:val="ru-RU"/>
        </w:rPr>
        <w:t>Учет и движение привлеченных средств</w:t>
      </w:r>
    </w:p>
    <w:p w14:paraId="43A6078A" w14:textId="6B4D2B37" w:rsidR="004453A7" w:rsidRPr="004453A7" w:rsidRDefault="004453A7" w:rsidP="002C54B2">
      <w:pPr>
        <w:pStyle w:val="a7"/>
        <w:numPr>
          <w:ilvl w:val="0"/>
          <w:numId w:val="4"/>
        </w:numPr>
        <w:spacing w:line="360" w:lineRule="auto"/>
        <w:jc w:val="both"/>
        <w:rPr>
          <w:lang w:val="ru-RU"/>
        </w:rPr>
      </w:pPr>
      <w:r w:rsidRPr="004453A7">
        <w:rPr>
          <w:lang w:val="ru-RU"/>
        </w:rPr>
        <w:lastRenderedPageBreak/>
        <w:t>Управление временно свободными средствами</w:t>
      </w:r>
    </w:p>
    <w:p w14:paraId="537C09E8" w14:textId="0A7FCC7A" w:rsidR="004453A7" w:rsidRPr="004453A7" w:rsidRDefault="004453A7" w:rsidP="002C54B2">
      <w:pPr>
        <w:pStyle w:val="a7"/>
        <w:numPr>
          <w:ilvl w:val="0"/>
          <w:numId w:val="4"/>
        </w:numPr>
        <w:spacing w:line="360" w:lineRule="auto"/>
        <w:jc w:val="both"/>
        <w:rPr>
          <w:lang w:val="ru-RU"/>
        </w:rPr>
      </w:pPr>
      <w:r w:rsidRPr="004453A7">
        <w:rPr>
          <w:lang w:val="ru-RU"/>
        </w:rPr>
        <w:t>Процедуры отбора и контроля проектов</w:t>
      </w:r>
    </w:p>
    <w:p w14:paraId="5894DBC7" w14:textId="63D42295" w:rsidR="004453A7" w:rsidRPr="004453A7" w:rsidRDefault="004453A7" w:rsidP="002C54B2">
      <w:pPr>
        <w:pStyle w:val="a7"/>
        <w:numPr>
          <w:ilvl w:val="0"/>
          <w:numId w:val="4"/>
        </w:numPr>
        <w:spacing w:line="360" w:lineRule="auto"/>
        <w:jc w:val="both"/>
        <w:rPr>
          <w:lang w:val="ru-RU"/>
        </w:rPr>
      </w:pPr>
      <w:r w:rsidRPr="004453A7">
        <w:rPr>
          <w:lang w:val="ru-RU"/>
        </w:rPr>
        <w:t>Системы отчетности и раскрытия информации</w:t>
      </w:r>
    </w:p>
    <w:p w14:paraId="269539EE" w14:textId="07311B2D" w:rsidR="004453A7" w:rsidRPr="004453A7" w:rsidRDefault="004453A7" w:rsidP="002C54B2">
      <w:pPr>
        <w:spacing w:line="360" w:lineRule="auto"/>
        <w:jc w:val="both"/>
        <w:rPr>
          <w:lang w:val="ru-RU"/>
        </w:rPr>
      </w:pPr>
      <w:r w:rsidRPr="004453A7">
        <w:rPr>
          <w:lang w:val="ru-RU"/>
        </w:rPr>
        <w:t>3. Оценка проекта:</w:t>
      </w:r>
    </w:p>
    <w:p w14:paraId="45DC2F56" w14:textId="77777777" w:rsidR="004453A7" w:rsidRPr="004453A7" w:rsidRDefault="004453A7" w:rsidP="002C54B2">
      <w:pPr>
        <w:spacing w:line="360" w:lineRule="auto"/>
        <w:jc w:val="both"/>
        <w:rPr>
          <w:lang w:val="ru-RU"/>
        </w:rPr>
      </w:pPr>
      <w:r w:rsidRPr="004453A7">
        <w:rPr>
          <w:lang w:val="ru-RU"/>
        </w:rPr>
        <w:t>- Анализ открытых источников и предоставленных документов</w:t>
      </w:r>
    </w:p>
    <w:p w14:paraId="2B10C1D9" w14:textId="77777777" w:rsidR="004453A7" w:rsidRPr="004453A7" w:rsidRDefault="004453A7" w:rsidP="002C54B2">
      <w:pPr>
        <w:spacing w:line="360" w:lineRule="auto"/>
        <w:jc w:val="both"/>
        <w:rPr>
          <w:lang w:val="ru-RU"/>
        </w:rPr>
      </w:pPr>
      <w:r w:rsidRPr="004453A7">
        <w:rPr>
          <w:lang w:val="ru-RU"/>
        </w:rPr>
        <w:t>- Проведение интервью с сотрудниками инициатора</w:t>
      </w:r>
    </w:p>
    <w:p w14:paraId="3CE95FE0" w14:textId="77777777" w:rsidR="004453A7" w:rsidRPr="004453A7" w:rsidRDefault="004453A7" w:rsidP="002C54B2">
      <w:pPr>
        <w:spacing w:line="360" w:lineRule="auto"/>
        <w:jc w:val="both"/>
        <w:rPr>
          <w:lang w:val="ru-RU"/>
        </w:rPr>
      </w:pPr>
      <w:r w:rsidRPr="004453A7">
        <w:rPr>
          <w:lang w:val="ru-RU"/>
        </w:rPr>
        <w:t>- Оценка материальности ожидаемого эффекта (экологического или социального)</w:t>
      </w:r>
    </w:p>
    <w:p w14:paraId="600FD722" w14:textId="77777777" w:rsidR="004453A7" w:rsidRPr="004453A7" w:rsidRDefault="004453A7" w:rsidP="002C54B2">
      <w:pPr>
        <w:spacing w:line="360" w:lineRule="auto"/>
        <w:jc w:val="both"/>
        <w:rPr>
          <w:lang w:val="ru-RU"/>
        </w:rPr>
      </w:pPr>
      <w:r w:rsidRPr="004453A7">
        <w:rPr>
          <w:lang w:val="ru-RU"/>
        </w:rPr>
        <w:t>- Анализ проведенных оценок воздействия на окружающую среду/социального эффекта</w:t>
      </w:r>
    </w:p>
    <w:p w14:paraId="5ABD2D7C" w14:textId="77777777" w:rsidR="004453A7" w:rsidRPr="004453A7" w:rsidRDefault="004453A7" w:rsidP="002C54B2">
      <w:pPr>
        <w:spacing w:line="360" w:lineRule="auto"/>
        <w:jc w:val="both"/>
        <w:rPr>
          <w:lang w:val="ru-RU"/>
        </w:rPr>
      </w:pPr>
      <w:r w:rsidRPr="004453A7">
        <w:rPr>
          <w:lang w:val="ru-RU"/>
        </w:rPr>
        <w:t>- Проверка необходимых экспертных заключений</w:t>
      </w:r>
    </w:p>
    <w:p w14:paraId="1C1C5C3A" w14:textId="5E2F5F74" w:rsidR="004453A7" w:rsidRPr="004453A7" w:rsidRDefault="004453A7" w:rsidP="002C54B2">
      <w:pPr>
        <w:spacing w:line="360" w:lineRule="auto"/>
        <w:jc w:val="both"/>
        <w:rPr>
          <w:lang w:val="ru-RU"/>
        </w:rPr>
      </w:pPr>
      <w:r w:rsidRPr="004453A7">
        <w:rPr>
          <w:lang w:val="ru-RU"/>
        </w:rPr>
        <w:t>4. Особые требования для ранее выпущенных инструментов:</w:t>
      </w:r>
    </w:p>
    <w:p w14:paraId="070ACCF4" w14:textId="77777777" w:rsidR="004453A7" w:rsidRPr="004453A7" w:rsidRDefault="004453A7" w:rsidP="002C54B2">
      <w:pPr>
        <w:spacing w:line="360" w:lineRule="auto"/>
        <w:jc w:val="both"/>
        <w:rPr>
          <w:lang w:val="ru-RU"/>
        </w:rPr>
      </w:pPr>
      <w:r w:rsidRPr="004453A7">
        <w:rPr>
          <w:lang w:val="ru-RU"/>
        </w:rPr>
        <w:t>- Подтверждение, что проект находится в стадии реализации</w:t>
      </w:r>
    </w:p>
    <w:p w14:paraId="446562BD" w14:textId="77777777" w:rsidR="004453A7" w:rsidRPr="004453A7" w:rsidRDefault="004453A7" w:rsidP="002C54B2">
      <w:pPr>
        <w:spacing w:line="360" w:lineRule="auto"/>
        <w:jc w:val="both"/>
        <w:rPr>
          <w:lang w:val="ru-RU"/>
        </w:rPr>
      </w:pPr>
      <w:r w:rsidRPr="004453A7">
        <w:rPr>
          <w:lang w:val="ru-RU"/>
        </w:rPr>
        <w:t>- Проверка даты начала проекта/выпуска инструмента (после 21.09.2021)</w:t>
      </w:r>
    </w:p>
    <w:p w14:paraId="4165A49A" w14:textId="4277C700" w:rsidR="004453A7" w:rsidRPr="004453A7" w:rsidRDefault="004453A7" w:rsidP="002C54B2">
      <w:pPr>
        <w:spacing w:line="360" w:lineRule="auto"/>
        <w:jc w:val="both"/>
        <w:rPr>
          <w:lang w:val="ru-RU"/>
        </w:rPr>
      </w:pPr>
      <w:r w:rsidRPr="004453A7">
        <w:rPr>
          <w:lang w:val="ru-RU"/>
        </w:rPr>
        <w:t>5. Для завершенных проектов:</w:t>
      </w:r>
    </w:p>
    <w:p w14:paraId="73688348" w14:textId="77777777" w:rsidR="004453A7" w:rsidRPr="004453A7" w:rsidRDefault="004453A7" w:rsidP="002C54B2">
      <w:pPr>
        <w:spacing w:line="360" w:lineRule="auto"/>
        <w:jc w:val="both"/>
        <w:rPr>
          <w:lang w:val="ru-RU"/>
        </w:rPr>
      </w:pPr>
      <w:r w:rsidRPr="004453A7">
        <w:rPr>
          <w:lang w:val="ru-RU"/>
        </w:rPr>
        <w:t>- Подтверждение соответствия реализованного проекта критериям</w:t>
      </w:r>
    </w:p>
    <w:p w14:paraId="0B815693" w14:textId="77777777" w:rsidR="004453A7" w:rsidRPr="004453A7" w:rsidRDefault="004453A7" w:rsidP="002C54B2">
      <w:pPr>
        <w:spacing w:line="360" w:lineRule="auto"/>
        <w:jc w:val="both"/>
        <w:rPr>
          <w:lang w:val="ru-RU"/>
        </w:rPr>
      </w:pPr>
      <w:r w:rsidRPr="004453A7">
        <w:rPr>
          <w:lang w:val="ru-RU"/>
        </w:rPr>
        <w:t>- Оценка достижения заявленных экологических/социальных эффектов</w:t>
      </w:r>
    </w:p>
    <w:p w14:paraId="7BE2EACA" w14:textId="77777777" w:rsidR="004453A7" w:rsidRPr="004453A7" w:rsidRDefault="004453A7" w:rsidP="002C54B2">
      <w:pPr>
        <w:spacing w:line="360" w:lineRule="auto"/>
        <w:jc w:val="both"/>
        <w:rPr>
          <w:lang w:val="ru-RU"/>
        </w:rPr>
      </w:pPr>
      <w:r w:rsidRPr="004453A7">
        <w:rPr>
          <w:lang w:val="ru-RU"/>
        </w:rPr>
        <w:t>- Анализ результатов контрольных мероприятий в сфере охраны окружающей среды</w:t>
      </w:r>
    </w:p>
    <w:p w14:paraId="4B5639B9" w14:textId="77777777" w:rsidR="004453A7" w:rsidRPr="004453A7" w:rsidRDefault="004453A7" w:rsidP="002C54B2">
      <w:pPr>
        <w:spacing w:line="360" w:lineRule="auto"/>
        <w:jc w:val="both"/>
        <w:rPr>
          <w:lang w:val="ru-RU"/>
        </w:rPr>
      </w:pPr>
      <w:r w:rsidRPr="004453A7">
        <w:rPr>
          <w:lang w:val="ru-RU"/>
        </w:rPr>
        <w:t>- Проверка целевого использования средств</w:t>
      </w:r>
    </w:p>
    <w:p w14:paraId="5579B99D" w14:textId="6ECD54B9" w:rsidR="004453A7" w:rsidRPr="004453A7" w:rsidRDefault="004453A7" w:rsidP="002C54B2">
      <w:pPr>
        <w:spacing w:line="360" w:lineRule="auto"/>
        <w:jc w:val="both"/>
        <w:rPr>
          <w:lang w:val="ru-RU"/>
        </w:rPr>
      </w:pPr>
      <w:r w:rsidRPr="004453A7">
        <w:rPr>
          <w:lang w:val="ru-RU"/>
        </w:rPr>
        <w:t>6. Методы оценки:</w:t>
      </w:r>
    </w:p>
    <w:p w14:paraId="39D2AFCD" w14:textId="77777777" w:rsidR="004453A7" w:rsidRPr="004453A7" w:rsidRDefault="004453A7" w:rsidP="002C54B2">
      <w:pPr>
        <w:spacing w:line="360" w:lineRule="auto"/>
        <w:jc w:val="both"/>
        <w:rPr>
          <w:lang w:val="ru-RU"/>
        </w:rPr>
      </w:pPr>
      <w:r w:rsidRPr="004453A7">
        <w:rPr>
          <w:lang w:val="ru-RU"/>
        </w:rPr>
        <w:t>- Анализ документации</w:t>
      </w:r>
    </w:p>
    <w:p w14:paraId="62AF174C" w14:textId="77777777" w:rsidR="004453A7" w:rsidRPr="004453A7" w:rsidRDefault="004453A7" w:rsidP="002C54B2">
      <w:pPr>
        <w:spacing w:line="360" w:lineRule="auto"/>
        <w:jc w:val="both"/>
        <w:rPr>
          <w:lang w:val="ru-RU"/>
        </w:rPr>
      </w:pPr>
      <w:r w:rsidRPr="004453A7">
        <w:rPr>
          <w:lang w:val="ru-RU"/>
        </w:rPr>
        <w:t>- Интервью с сотрудниками</w:t>
      </w:r>
    </w:p>
    <w:p w14:paraId="721DB7EA" w14:textId="77777777" w:rsidR="004453A7" w:rsidRPr="004453A7" w:rsidRDefault="004453A7" w:rsidP="002C54B2">
      <w:pPr>
        <w:spacing w:line="360" w:lineRule="auto"/>
        <w:jc w:val="both"/>
        <w:rPr>
          <w:lang w:val="ru-RU"/>
        </w:rPr>
      </w:pPr>
      <w:r w:rsidRPr="004453A7">
        <w:rPr>
          <w:lang w:val="ru-RU"/>
        </w:rPr>
        <w:t>- Запросы в государственные органы и общественные организации</w:t>
      </w:r>
    </w:p>
    <w:p w14:paraId="79258F21" w14:textId="77777777" w:rsidR="004453A7" w:rsidRPr="004453A7" w:rsidRDefault="004453A7" w:rsidP="002C54B2">
      <w:pPr>
        <w:spacing w:line="360" w:lineRule="auto"/>
        <w:jc w:val="both"/>
        <w:rPr>
          <w:lang w:val="ru-RU"/>
        </w:rPr>
      </w:pPr>
      <w:r w:rsidRPr="004453A7">
        <w:rPr>
          <w:lang w:val="ru-RU"/>
        </w:rPr>
        <w:t>- Изучение открытых источников информации</w:t>
      </w:r>
    </w:p>
    <w:p w14:paraId="604C550E" w14:textId="77777777" w:rsidR="004453A7" w:rsidRDefault="004453A7" w:rsidP="002C54B2">
      <w:pPr>
        <w:spacing w:line="360" w:lineRule="auto"/>
        <w:jc w:val="both"/>
        <w:rPr>
          <w:lang w:val="ru-RU"/>
        </w:rPr>
      </w:pPr>
      <w:r w:rsidRPr="004453A7">
        <w:rPr>
          <w:lang w:val="ru-RU"/>
        </w:rPr>
        <w:lastRenderedPageBreak/>
        <w:t xml:space="preserve">Верификация проводится с учетом особенностей каждого типа проектов (зеленых, социальных, адаптационных) и предусматривает комплексный анализ всех аспектов соответствия установленным критериям и требованиям. </w:t>
      </w:r>
    </w:p>
    <w:p w14:paraId="500DC0CF" w14:textId="588F765B" w:rsidR="004453A7" w:rsidRPr="004453A7" w:rsidRDefault="004453A7" w:rsidP="002C54B2">
      <w:pPr>
        <w:spacing w:line="360" w:lineRule="auto"/>
        <w:jc w:val="both"/>
        <w:rPr>
          <w:lang w:val="ru-RU"/>
        </w:rPr>
      </w:pPr>
      <w:r w:rsidRPr="004453A7">
        <w:rPr>
          <w:lang w:val="ru-RU"/>
        </w:rPr>
        <w:t xml:space="preserve">Процедура верификации </w:t>
      </w:r>
      <w:r w:rsidRPr="004453A7">
        <w:rPr>
          <w:b/>
          <w:bCs/>
          <w:lang w:val="ru-RU"/>
        </w:rPr>
        <w:t>на этапе подтверждения соответствия</w:t>
      </w:r>
      <w:r w:rsidRPr="004453A7">
        <w:rPr>
          <w:lang w:val="ru-RU"/>
        </w:rPr>
        <w:t xml:space="preserve"> включает оценку по следующим направлениям:</w:t>
      </w:r>
    </w:p>
    <w:p w14:paraId="266847B2" w14:textId="53A54B73" w:rsidR="004453A7" w:rsidRPr="004453A7" w:rsidRDefault="004453A7" w:rsidP="002C54B2">
      <w:pPr>
        <w:spacing w:line="360" w:lineRule="auto"/>
        <w:jc w:val="both"/>
        <w:rPr>
          <w:lang w:val="ru-RU"/>
        </w:rPr>
      </w:pPr>
      <w:r w:rsidRPr="004453A7">
        <w:rPr>
          <w:lang w:val="ru-RU"/>
        </w:rPr>
        <w:t>1. Идентификация инструмента:</w:t>
      </w:r>
    </w:p>
    <w:p w14:paraId="09934F7C" w14:textId="615F1F8D" w:rsidR="004453A7" w:rsidRPr="004453A7" w:rsidRDefault="004453A7" w:rsidP="002C54B2">
      <w:pPr>
        <w:spacing w:line="360" w:lineRule="auto"/>
        <w:jc w:val="both"/>
        <w:rPr>
          <w:lang w:val="ru-RU"/>
        </w:rPr>
      </w:pPr>
      <w:r w:rsidRPr="004453A7">
        <w:rPr>
          <w:lang w:val="ru-RU"/>
        </w:rPr>
        <w:t>- Подтверждение типа финансового инструмента (зеленые/</w:t>
      </w:r>
      <w:r>
        <w:rPr>
          <w:lang w:val="ru-RU"/>
        </w:rPr>
        <w:t xml:space="preserve"> </w:t>
      </w:r>
      <w:r w:rsidRPr="004453A7">
        <w:rPr>
          <w:lang w:val="ru-RU"/>
        </w:rPr>
        <w:t>социальные/</w:t>
      </w:r>
      <w:r>
        <w:rPr>
          <w:lang w:val="ru-RU"/>
        </w:rPr>
        <w:t xml:space="preserve"> </w:t>
      </w:r>
      <w:r w:rsidRPr="004453A7">
        <w:rPr>
          <w:lang w:val="ru-RU"/>
        </w:rPr>
        <w:t>адаптационные облигации или облигации устойчивого развития)</w:t>
      </w:r>
    </w:p>
    <w:p w14:paraId="735CF706" w14:textId="77777777" w:rsidR="004453A7" w:rsidRPr="004453A7" w:rsidRDefault="004453A7" w:rsidP="002C54B2">
      <w:pPr>
        <w:spacing w:line="360" w:lineRule="auto"/>
        <w:jc w:val="both"/>
        <w:rPr>
          <w:lang w:val="ru-RU"/>
        </w:rPr>
      </w:pPr>
      <w:r w:rsidRPr="004453A7">
        <w:rPr>
          <w:lang w:val="ru-RU"/>
        </w:rPr>
        <w:t>- Сверка с ранее установленным верификатором типом инструмента</w:t>
      </w:r>
    </w:p>
    <w:p w14:paraId="7E0125CB" w14:textId="19761F1F" w:rsidR="004453A7" w:rsidRPr="004453A7" w:rsidRDefault="004453A7" w:rsidP="002C54B2">
      <w:pPr>
        <w:spacing w:line="360" w:lineRule="auto"/>
        <w:jc w:val="both"/>
        <w:rPr>
          <w:lang w:val="ru-RU"/>
        </w:rPr>
      </w:pPr>
      <w:r w:rsidRPr="004453A7">
        <w:rPr>
          <w:lang w:val="ru-RU"/>
        </w:rPr>
        <w:t>2. Анализ изменений в системе управления:</w:t>
      </w:r>
    </w:p>
    <w:p w14:paraId="0D13C8CC" w14:textId="77777777" w:rsidR="004453A7" w:rsidRPr="004453A7" w:rsidRDefault="004453A7" w:rsidP="002C54B2">
      <w:pPr>
        <w:spacing w:line="360" w:lineRule="auto"/>
        <w:jc w:val="both"/>
        <w:rPr>
          <w:lang w:val="ru-RU"/>
        </w:rPr>
      </w:pPr>
      <w:r w:rsidRPr="004453A7">
        <w:rPr>
          <w:lang w:val="ru-RU"/>
        </w:rPr>
        <w:t>- Оценка модификаций внутренних политик и процедур инициатора:</w:t>
      </w:r>
    </w:p>
    <w:p w14:paraId="4B0AEAE3" w14:textId="194A3E10" w:rsidR="004453A7" w:rsidRPr="004453A7" w:rsidRDefault="004453A7" w:rsidP="002C54B2">
      <w:pPr>
        <w:pStyle w:val="a7"/>
        <w:numPr>
          <w:ilvl w:val="0"/>
          <w:numId w:val="5"/>
        </w:numPr>
        <w:spacing w:line="360" w:lineRule="auto"/>
        <w:jc w:val="both"/>
        <w:rPr>
          <w:lang w:val="ru-RU"/>
        </w:rPr>
      </w:pPr>
      <w:r w:rsidRPr="004453A7">
        <w:rPr>
          <w:lang w:val="ru-RU"/>
        </w:rPr>
        <w:t>По управлению привлеченными средствами</w:t>
      </w:r>
    </w:p>
    <w:p w14:paraId="7CE1E9D1" w14:textId="503BBD7C" w:rsidR="004453A7" w:rsidRPr="004453A7" w:rsidRDefault="004453A7" w:rsidP="002C54B2">
      <w:pPr>
        <w:pStyle w:val="a7"/>
        <w:numPr>
          <w:ilvl w:val="0"/>
          <w:numId w:val="5"/>
        </w:numPr>
        <w:spacing w:line="360" w:lineRule="auto"/>
        <w:jc w:val="both"/>
        <w:rPr>
          <w:lang w:val="ru-RU"/>
        </w:rPr>
      </w:pPr>
      <w:r w:rsidRPr="004453A7">
        <w:rPr>
          <w:lang w:val="ru-RU"/>
        </w:rPr>
        <w:t>По размещению временно свободных ресурсов</w:t>
      </w:r>
    </w:p>
    <w:p w14:paraId="01D3F196" w14:textId="1EE11770" w:rsidR="004453A7" w:rsidRPr="004453A7" w:rsidRDefault="004453A7" w:rsidP="002C54B2">
      <w:pPr>
        <w:pStyle w:val="a7"/>
        <w:numPr>
          <w:ilvl w:val="0"/>
          <w:numId w:val="5"/>
        </w:numPr>
        <w:spacing w:line="360" w:lineRule="auto"/>
        <w:jc w:val="both"/>
        <w:rPr>
          <w:lang w:val="ru-RU"/>
        </w:rPr>
      </w:pPr>
      <w:r w:rsidRPr="004453A7">
        <w:rPr>
          <w:lang w:val="ru-RU"/>
        </w:rPr>
        <w:t>По подготовке регулярной отчетности</w:t>
      </w:r>
    </w:p>
    <w:p w14:paraId="3AE7C84E" w14:textId="77777777" w:rsidR="004453A7" w:rsidRPr="004453A7" w:rsidRDefault="004453A7" w:rsidP="002C54B2">
      <w:pPr>
        <w:spacing w:line="360" w:lineRule="auto"/>
        <w:jc w:val="both"/>
        <w:rPr>
          <w:lang w:val="ru-RU"/>
        </w:rPr>
      </w:pPr>
      <w:r w:rsidRPr="004453A7">
        <w:rPr>
          <w:lang w:val="ru-RU"/>
        </w:rPr>
        <w:t>- Проверка актуальности изменений после:</w:t>
      </w:r>
    </w:p>
    <w:p w14:paraId="68FC36BF" w14:textId="78AD4AAB" w:rsidR="004453A7" w:rsidRPr="004453A7" w:rsidRDefault="004453A7" w:rsidP="002C54B2">
      <w:pPr>
        <w:pStyle w:val="a7"/>
        <w:numPr>
          <w:ilvl w:val="0"/>
          <w:numId w:val="6"/>
        </w:numPr>
        <w:spacing w:line="360" w:lineRule="auto"/>
        <w:jc w:val="both"/>
        <w:rPr>
          <w:lang w:val="ru-RU"/>
        </w:rPr>
      </w:pPr>
      <w:r w:rsidRPr="004453A7">
        <w:rPr>
          <w:lang w:val="ru-RU"/>
        </w:rPr>
        <w:t>Регистрации выпуска облигаций</w:t>
      </w:r>
    </w:p>
    <w:p w14:paraId="2ECD2923" w14:textId="2B168612" w:rsidR="004453A7" w:rsidRPr="004453A7" w:rsidRDefault="004453A7" w:rsidP="002C54B2">
      <w:pPr>
        <w:pStyle w:val="a7"/>
        <w:numPr>
          <w:ilvl w:val="0"/>
          <w:numId w:val="6"/>
        </w:numPr>
        <w:spacing w:line="360" w:lineRule="auto"/>
        <w:jc w:val="both"/>
        <w:rPr>
          <w:lang w:val="ru-RU"/>
        </w:rPr>
      </w:pPr>
      <w:r w:rsidRPr="004453A7">
        <w:rPr>
          <w:lang w:val="ru-RU"/>
        </w:rPr>
        <w:t>Получения кредитного решения</w:t>
      </w:r>
    </w:p>
    <w:p w14:paraId="69047747" w14:textId="57DF6B0E" w:rsidR="004453A7" w:rsidRPr="004453A7" w:rsidRDefault="004453A7" w:rsidP="002C54B2">
      <w:pPr>
        <w:spacing w:line="360" w:lineRule="auto"/>
        <w:jc w:val="both"/>
        <w:rPr>
          <w:lang w:val="ru-RU"/>
        </w:rPr>
      </w:pPr>
      <w:r w:rsidRPr="004453A7">
        <w:rPr>
          <w:lang w:val="ru-RU"/>
        </w:rPr>
        <w:t>3. Контроль движения средств:</w:t>
      </w:r>
    </w:p>
    <w:p w14:paraId="6B60E031" w14:textId="77777777" w:rsidR="004453A7" w:rsidRPr="004453A7" w:rsidRDefault="004453A7" w:rsidP="002C54B2">
      <w:pPr>
        <w:spacing w:line="360" w:lineRule="auto"/>
        <w:jc w:val="both"/>
        <w:rPr>
          <w:lang w:val="ru-RU"/>
        </w:rPr>
      </w:pPr>
      <w:r w:rsidRPr="004453A7">
        <w:rPr>
          <w:lang w:val="ru-RU"/>
        </w:rPr>
        <w:t>- Анализ учета привлеченных финансовых ресурсов</w:t>
      </w:r>
    </w:p>
    <w:p w14:paraId="7E85AC3C" w14:textId="77777777" w:rsidR="004453A7" w:rsidRPr="004453A7" w:rsidRDefault="004453A7" w:rsidP="002C54B2">
      <w:pPr>
        <w:spacing w:line="360" w:lineRule="auto"/>
        <w:jc w:val="both"/>
        <w:rPr>
          <w:lang w:val="ru-RU"/>
        </w:rPr>
      </w:pPr>
      <w:r w:rsidRPr="004453A7">
        <w:rPr>
          <w:lang w:val="ru-RU"/>
        </w:rPr>
        <w:t>- Проверка целевого использования средств</w:t>
      </w:r>
    </w:p>
    <w:p w14:paraId="692D847D" w14:textId="77777777" w:rsidR="004453A7" w:rsidRPr="004453A7" w:rsidRDefault="004453A7" w:rsidP="002C54B2">
      <w:pPr>
        <w:spacing w:line="360" w:lineRule="auto"/>
        <w:jc w:val="both"/>
        <w:rPr>
          <w:lang w:val="ru-RU"/>
        </w:rPr>
      </w:pPr>
      <w:r w:rsidRPr="004453A7">
        <w:rPr>
          <w:lang w:val="ru-RU"/>
        </w:rPr>
        <w:t>- Мониторинг размещения временно свободных средств</w:t>
      </w:r>
    </w:p>
    <w:p w14:paraId="3562E3E1" w14:textId="2AC4C1E9" w:rsidR="004453A7" w:rsidRPr="004453A7" w:rsidRDefault="004453A7" w:rsidP="002C54B2">
      <w:pPr>
        <w:spacing w:line="360" w:lineRule="auto"/>
        <w:jc w:val="both"/>
        <w:rPr>
          <w:lang w:val="ru-RU"/>
        </w:rPr>
      </w:pPr>
      <w:r w:rsidRPr="004453A7">
        <w:rPr>
          <w:lang w:val="ru-RU"/>
        </w:rPr>
        <w:t>4. Оценка эффективности зеленых/адаптационных проектов:</w:t>
      </w:r>
    </w:p>
    <w:p w14:paraId="2DCD0090" w14:textId="77777777" w:rsidR="004453A7" w:rsidRPr="004453A7" w:rsidRDefault="004453A7" w:rsidP="002C54B2">
      <w:pPr>
        <w:spacing w:line="360" w:lineRule="auto"/>
        <w:jc w:val="both"/>
        <w:rPr>
          <w:lang w:val="ru-RU"/>
        </w:rPr>
      </w:pPr>
      <w:r w:rsidRPr="004453A7">
        <w:rPr>
          <w:lang w:val="ru-RU"/>
        </w:rPr>
        <w:t>- Анализ достижения экологических показателей</w:t>
      </w:r>
    </w:p>
    <w:p w14:paraId="2C9B5547" w14:textId="77777777" w:rsidR="004453A7" w:rsidRPr="004453A7" w:rsidRDefault="004453A7" w:rsidP="002C54B2">
      <w:pPr>
        <w:spacing w:line="360" w:lineRule="auto"/>
        <w:jc w:val="both"/>
        <w:rPr>
          <w:lang w:val="ru-RU"/>
        </w:rPr>
      </w:pPr>
      <w:r w:rsidRPr="004453A7">
        <w:rPr>
          <w:lang w:val="ru-RU"/>
        </w:rPr>
        <w:t>- Выявление факторов, влияющих на экологический эффект</w:t>
      </w:r>
    </w:p>
    <w:p w14:paraId="5E234AC6" w14:textId="08A098AD" w:rsidR="004453A7" w:rsidRPr="004453A7" w:rsidRDefault="004453A7" w:rsidP="002C54B2">
      <w:pPr>
        <w:spacing w:line="360" w:lineRule="auto"/>
        <w:jc w:val="both"/>
        <w:rPr>
          <w:lang w:val="ru-RU"/>
        </w:rPr>
      </w:pPr>
      <w:r w:rsidRPr="004453A7">
        <w:rPr>
          <w:lang w:val="ru-RU"/>
        </w:rPr>
        <w:t>- Проверка</w:t>
      </w:r>
      <w:r>
        <w:rPr>
          <w:lang w:val="ru-RU"/>
        </w:rPr>
        <w:t xml:space="preserve"> осуществляется</w:t>
      </w:r>
      <w:r w:rsidRPr="004453A7">
        <w:rPr>
          <w:lang w:val="ru-RU"/>
        </w:rPr>
        <w:t xml:space="preserve"> </w:t>
      </w:r>
      <w:r>
        <w:rPr>
          <w:lang w:val="ru-RU"/>
        </w:rPr>
        <w:t>путем</w:t>
      </w:r>
      <w:r w:rsidRPr="004453A7">
        <w:rPr>
          <w:lang w:val="ru-RU"/>
        </w:rPr>
        <w:t>:</w:t>
      </w:r>
    </w:p>
    <w:p w14:paraId="0AF880CC" w14:textId="71498BB5" w:rsidR="004453A7" w:rsidRPr="004453A7" w:rsidRDefault="004453A7" w:rsidP="002C54B2">
      <w:pPr>
        <w:pStyle w:val="a7"/>
        <w:numPr>
          <w:ilvl w:val="0"/>
          <w:numId w:val="7"/>
        </w:numPr>
        <w:spacing w:line="360" w:lineRule="auto"/>
        <w:jc w:val="both"/>
        <w:rPr>
          <w:lang w:val="ru-RU"/>
        </w:rPr>
      </w:pPr>
      <w:r w:rsidRPr="004453A7">
        <w:rPr>
          <w:lang w:val="ru-RU"/>
        </w:rPr>
        <w:t>Интервью с исполнителями</w:t>
      </w:r>
    </w:p>
    <w:p w14:paraId="7A71D70A" w14:textId="2D81A4E1" w:rsidR="004453A7" w:rsidRPr="004453A7" w:rsidRDefault="004453A7" w:rsidP="002C54B2">
      <w:pPr>
        <w:pStyle w:val="a7"/>
        <w:numPr>
          <w:ilvl w:val="0"/>
          <w:numId w:val="7"/>
        </w:numPr>
        <w:spacing w:line="360" w:lineRule="auto"/>
        <w:jc w:val="both"/>
        <w:rPr>
          <w:lang w:val="ru-RU"/>
        </w:rPr>
      </w:pPr>
      <w:r w:rsidRPr="004453A7">
        <w:rPr>
          <w:lang w:val="ru-RU"/>
        </w:rPr>
        <w:lastRenderedPageBreak/>
        <w:t>Анализ информации из открытых источников</w:t>
      </w:r>
    </w:p>
    <w:p w14:paraId="7C539F07" w14:textId="619F049B" w:rsidR="004453A7" w:rsidRPr="004453A7" w:rsidRDefault="004453A7" w:rsidP="002C54B2">
      <w:pPr>
        <w:pStyle w:val="a7"/>
        <w:numPr>
          <w:ilvl w:val="0"/>
          <w:numId w:val="7"/>
        </w:numPr>
        <w:spacing w:line="360" w:lineRule="auto"/>
        <w:jc w:val="both"/>
        <w:rPr>
          <w:lang w:val="ru-RU"/>
        </w:rPr>
      </w:pPr>
      <w:r w:rsidRPr="004453A7">
        <w:rPr>
          <w:lang w:val="ru-RU"/>
        </w:rPr>
        <w:t>Запросов в государственные и общественные организации</w:t>
      </w:r>
    </w:p>
    <w:p w14:paraId="401B21DD" w14:textId="2155A911" w:rsidR="004453A7" w:rsidRPr="004453A7" w:rsidRDefault="004453A7" w:rsidP="002C54B2">
      <w:pPr>
        <w:spacing w:line="360" w:lineRule="auto"/>
        <w:jc w:val="both"/>
        <w:rPr>
          <w:lang w:val="ru-RU"/>
        </w:rPr>
      </w:pPr>
      <w:r w:rsidRPr="004453A7">
        <w:rPr>
          <w:lang w:val="ru-RU"/>
        </w:rPr>
        <w:t>5. Анализ отчетности:</w:t>
      </w:r>
    </w:p>
    <w:p w14:paraId="6BEEE948" w14:textId="77777777" w:rsidR="004453A7" w:rsidRPr="004453A7" w:rsidRDefault="004453A7" w:rsidP="002C54B2">
      <w:pPr>
        <w:spacing w:line="360" w:lineRule="auto"/>
        <w:jc w:val="both"/>
        <w:rPr>
          <w:lang w:val="ru-RU"/>
        </w:rPr>
      </w:pPr>
      <w:r w:rsidRPr="004453A7">
        <w:rPr>
          <w:lang w:val="ru-RU"/>
        </w:rPr>
        <w:t>- Проверка раскрытия информации:</w:t>
      </w:r>
    </w:p>
    <w:p w14:paraId="477872BB" w14:textId="594FD6D8" w:rsidR="004453A7" w:rsidRPr="004453A7" w:rsidRDefault="004453A7" w:rsidP="002C54B2">
      <w:pPr>
        <w:pStyle w:val="a7"/>
        <w:numPr>
          <w:ilvl w:val="0"/>
          <w:numId w:val="8"/>
        </w:numPr>
        <w:spacing w:line="360" w:lineRule="auto"/>
        <w:jc w:val="both"/>
        <w:rPr>
          <w:lang w:val="ru-RU"/>
        </w:rPr>
      </w:pPr>
      <w:r w:rsidRPr="004453A7">
        <w:rPr>
          <w:lang w:val="ru-RU"/>
        </w:rPr>
        <w:t>О использовании средств</w:t>
      </w:r>
    </w:p>
    <w:p w14:paraId="72D64845" w14:textId="66F1F615" w:rsidR="004453A7" w:rsidRPr="004453A7" w:rsidRDefault="004453A7" w:rsidP="002C54B2">
      <w:pPr>
        <w:pStyle w:val="a7"/>
        <w:numPr>
          <w:ilvl w:val="0"/>
          <w:numId w:val="8"/>
        </w:numPr>
        <w:spacing w:line="360" w:lineRule="auto"/>
        <w:jc w:val="both"/>
        <w:rPr>
          <w:lang w:val="ru-RU"/>
        </w:rPr>
      </w:pPr>
      <w:r w:rsidRPr="004453A7">
        <w:rPr>
          <w:lang w:val="ru-RU"/>
        </w:rPr>
        <w:t>О соответствии требованиям</w:t>
      </w:r>
    </w:p>
    <w:p w14:paraId="219F8531" w14:textId="77777777" w:rsidR="004453A7" w:rsidRPr="004453A7" w:rsidRDefault="004453A7" w:rsidP="002C54B2">
      <w:pPr>
        <w:spacing w:line="360" w:lineRule="auto"/>
        <w:jc w:val="both"/>
        <w:rPr>
          <w:lang w:val="ru-RU"/>
        </w:rPr>
      </w:pPr>
      <w:r w:rsidRPr="004453A7">
        <w:rPr>
          <w:lang w:val="ru-RU"/>
        </w:rPr>
        <w:t>- Для облигаций - дополнительная проверка:</w:t>
      </w:r>
    </w:p>
    <w:p w14:paraId="7FC561AB" w14:textId="394B85F4" w:rsidR="004453A7" w:rsidRPr="004453A7" w:rsidRDefault="004453A7" w:rsidP="002C54B2">
      <w:pPr>
        <w:pStyle w:val="a7"/>
        <w:numPr>
          <w:ilvl w:val="0"/>
          <w:numId w:val="9"/>
        </w:numPr>
        <w:spacing w:line="360" w:lineRule="auto"/>
        <w:jc w:val="both"/>
        <w:rPr>
          <w:lang w:val="ru-RU"/>
        </w:rPr>
      </w:pPr>
      <w:r w:rsidRPr="004453A7">
        <w:rPr>
          <w:lang w:val="ru-RU"/>
        </w:rPr>
        <w:t>Соответствия требованиям Банка России</w:t>
      </w:r>
    </w:p>
    <w:p w14:paraId="5240D827" w14:textId="215EB650" w:rsidR="004453A7" w:rsidRPr="004453A7" w:rsidRDefault="004453A7" w:rsidP="002C54B2">
      <w:pPr>
        <w:pStyle w:val="a7"/>
        <w:numPr>
          <w:ilvl w:val="0"/>
          <w:numId w:val="9"/>
        </w:numPr>
        <w:spacing w:line="360" w:lineRule="auto"/>
        <w:jc w:val="both"/>
        <w:rPr>
          <w:lang w:val="ru-RU"/>
        </w:rPr>
      </w:pPr>
      <w:r w:rsidRPr="004453A7">
        <w:rPr>
          <w:lang w:val="ru-RU"/>
        </w:rPr>
        <w:t>Правильности идентификации типа облигаций</w:t>
      </w:r>
    </w:p>
    <w:p w14:paraId="5520CF54" w14:textId="36E4CBC0" w:rsidR="004453A7" w:rsidRPr="004453A7" w:rsidRDefault="004453A7" w:rsidP="002C54B2">
      <w:pPr>
        <w:spacing w:line="360" w:lineRule="auto"/>
        <w:jc w:val="both"/>
        <w:rPr>
          <w:lang w:val="ru-RU"/>
        </w:rPr>
      </w:pPr>
      <w:r w:rsidRPr="004453A7">
        <w:rPr>
          <w:lang w:val="ru-RU"/>
        </w:rPr>
        <w:t>6. Контроль соблюдения экологических норм:</w:t>
      </w:r>
    </w:p>
    <w:p w14:paraId="66BE9C02" w14:textId="77777777" w:rsidR="004453A7" w:rsidRPr="004453A7" w:rsidRDefault="004453A7" w:rsidP="002C54B2">
      <w:pPr>
        <w:spacing w:line="360" w:lineRule="auto"/>
        <w:jc w:val="both"/>
        <w:rPr>
          <w:lang w:val="ru-RU"/>
        </w:rPr>
      </w:pPr>
      <w:r w:rsidRPr="004453A7">
        <w:rPr>
          <w:lang w:val="ru-RU"/>
        </w:rPr>
        <w:t>- Анализ результатов проверок:</w:t>
      </w:r>
    </w:p>
    <w:p w14:paraId="3973F868" w14:textId="6F3D2232" w:rsidR="004453A7" w:rsidRPr="004453A7" w:rsidRDefault="004453A7" w:rsidP="002C54B2">
      <w:pPr>
        <w:pStyle w:val="a7"/>
        <w:numPr>
          <w:ilvl w:val="0"/>
          <w:numId w:val="10"/>
        </w:numPr>
        <w:spacing w:line="360" w:lineRule="auto"/>
        <w:jc w:val="both"/>
        <w:rPr>
          <w:lang w:val="ru-RU"/>
        </w:rPr>
      </w:pPr>
      <w:r w:rsidRPr="004453A7">
        <w:rPr>
          <w:lang w:val="ru-RU"/>
        </w:rPr>
        <w:t>Актов надзорных органов</w:t>
      </w:r>
    </w:p>
    <w:p w14:paraId="310D750A" w14:textId="1755B826" w:rsidR="004453A7" w:rsidRPr="004453A7" w:rsidRDefault="004453A7" w:rsidP="002C54B2">
      <w:pPr>
        <w:pStyle w:val="a7"/>
        <w:numPr>
          <w:ilvl w:val="0"/>
          <w:numId w:val="10"/>
        </w:numPr>
        <w:spacing w:line="360" w:lineRule="auto"/>
        <w:jc w:val="both"/>
        <w:rPr>
          <w:lang w:val="ru-RU"/>
        </w:rPr>
      </w:pPr>
      <w:r w:rsidRPr="004453A7">
        <w:rPr>
          <w:lang w:val="ru-RU"/>
        </w:rPr>
        <w:t>Заключений контролирующих инстанций</w:t>
      </w:r>
    </w:p>
    <w:p w14:paraId="6C4FD081" w14:textId="4E865781" w:rsidR="004453A7" w:rsidRPr="004453A7" w:rsidRDefault="004453A7" w:rsidP="002C54B2">
      <w:pPr>
        <w:pStyle w:val="a7"/>
        <w:numPr>
          <w:ilvl w:val="0"/>
          <w:numId w:val="10"/>
        </w:numPr>
        <w:spacing w:line="360" w:lineRule="auto"/>
        <w:jc w:val="both"/>
        <w:rPr>
          <w:lang w:val="ru-RU"/>
        </w:rPr>
      </w:pPr>
      <w:r w:rsidRPr="004453A7">
        <w:rPr>
          <w:lang w:val="ru-RU"/>
        </w:rPr>
        <w:t>Предписаний и иных документов</w:t>
      </w:r>
    </w:p>
    <w:p w14:paraId="4F0A38D6" w14:textId="660379F4" w:rsidR="00D53A1A" w:rsidRPr="00D53A1A" w:rsidRDefault="00D53A1A" w:rsidP="002C54B2">
      <w:pPr>
        <w:spacing w:line="360" w:lineRule="auto"/>
        <w:jc w:val="both"/>
        <w:rPr>
          <w:lang w:val="ru-RU"/>
        </w:rPr>
      </w:pPr>
      <w:r w:rsidRPr="00D53A1A">
        <w:rPr>
          <w:lang w:val="ru-RU"/>
        </w:rPr>
        <w:t>По итогам верификации верификатор выпускает заключение</w:t>
      </w:r>
      <w:r>
        <w:rPr>
          <w:lang w:val="ru-RU"/>
        </w:rPr>
        <w:t xml:space="preserve"> о соответствии или несоответствии требованиям. </w:t>
      </w:r>
      <w:r w:rsidRPr="00D53A1A">
        <w:rPr>
          <w:lang w:val="ru-RU"/>
        </w:rPr>
        <w:t>Верификаторы направляют в методологический центр все выпущенные заключения. В рамках стандартного формата верификации методологический центр проводит выборочную проверку заключений, выпущенных любым верификатором, на их соответствие требованиям</w:t>
      </w:r>
      <w:r>
        <w:rPr>
          <w:lang w:val="ru-RU"/>
        </w:rPr>
        <w:t xml:space="preserve">. </w:t>
      </w:r>
    </w:p>
    <w:p w14:paraId="65AAB9B9" w14:textId="0EC2E04D" w:rsidR="005C3A7E" w:rsidRDefault="005C3A7E" w:rsidP="002C54B2">
      <w:pPr>
        <w:spacing w:line="360" w:lineRule="auto"/>
        <w:jc w:val="both"/>
        <w:rPr>
          <w:rFonts w:asciiTheme="majorHAnsi" w:eastAsiaTheme="majorEastAsia" w:hAnsiTheme="majorHAnsi" w:cstheme="majorBidi"/>
          <w:color w:val="0F4761" w:themeColor="accent1" w:themeShade="BF"/>
          <w:lang w:val="ru-RU"/>
        </w:rPr>
      </w:pPr>
      <w:r>
        <w:rPr>
          <w:lang w:val="ru-RU"/>
        </w:rPr>
        <w:br w:type="page"/>
      </w:r>
    </w:p>
    <w:p w14:paraId="7DECD205" w14:textId="15AE9585" w:rsidR="00B12684" w:rsidRPr="003F3804" w:rsidRDefault="00B12684" w:rsidP="002C54B2">
      <w:pPr>
        <w:pStyle w:val="2"/>
        <w:spacing w:line="360" w:lineRule="auto"/>
        <w:jc w:val="both"/>
        <w:rPr>
          <w:sz w:val="24"/>
          <w:szCs w:val="24"/>
          <w:lang w:val="ru-RU"/>
        </w:rPr>
      </w:pPr>
      <w:bookmarkStart w:id="4" w:name="_Toc199748208"/>
      <w:r>
        <w:rPr>
          <w:sz w:val="24"/>
          <w:szCs w:val="24"/>
          <w:lang w:val="ru-RU"/>
        </w:rPr>
        <w:lastRenderedPageBreak/>
        <w:t>1</w:t>
      </w:r>
      <w:r w:rsidRPr="003F3804">
        <w:rPr>
          <w:sz w:val="24"/>
          <w:szCs w:val="24"/>
          <w:lang w:val="ru-RU"/>
        </w:rPr>
        <w:t>.</w:t>
      </w:r>
      <w:r>
        <w:rPr>
          <w:sz w:val="24"/>
          <w:szCs w:val="24"/>
          <w:lang w:val="ru-RU"/>
        </w:rPr>
        <w:t>2</w:t>
      </w:r>
      <w:r w:rsidRPr="003F3804">
        <w:rPr>
          <w:sz w:val="24"/>
          <w:szCs w:val="24"/>
          <w:lang w:val="ru-RU"/>
        </w:rPr>
        <w:t xml:space="preserve">. ТРЕБОВАНИЯ </w:t>
      </w:r>
      <w:r>
        <w:rPr>
          <w:sz w:val="24"/>
          <w:szCs w:val="24"/>
          <w:lang w:val="ru-RU"/>
        </w:rPr>
        <w:t>МОСКОВСКОЙ БИРЖИ</w:t>
      </w:r>
      <w:bookmarkEnd w:id="4"/>
    </w:p>
    <w:p w14:paraId="199C4518" w14:textId="5480ADB5" w:rsidR="005C3A7E" w:rsidRPr="005C3A7E" w:rsidRDefault="005C3A7E" w:rsidP="002C54B2">
      <w:pPr>
        <w:spacing w:line="360" w:lineRule="auto"/>
        <w:jc w:val="both"/>
        <w:rPr>
          <w:lang w:val="ru-RU"/>
        </w:rPr>
      </w:pPr>
      <w:r w:rsidRPr="005C3A7E">
        <w:rPr>
          <w:lang w:val="ru-RU"/>
        </w:rPr>
        <w:t>Московская биржа создала Сектор устойчивого развития для финансирования экологических, социальных и климатически значимых проектов.</w:t>
      </w:r>
      <w:r>
        <w:rPr>
          <w:lang w:val="ru-RU"/>
        </w:rPr>
        <w:t xml:space="preserve"> </w:t>
      </w:r>
      <w:r w:rsidRPr="005C3A7E">
        <w:rPr>
          <w:lang w:val="ru-RU"/>
        </w:rPr>
        <w:t>В Сектор устойчивого развития могут быть включены облигации российских и иностранных эмитентов, а также субфедеральные и муниципальные облигации при соответствии требованиям, указанным в Правилах листинга Московской биржи.</w:t>
      </w:r>
    </w:p>
    <w:p w14:paraId="5AF1EAB1" w14:textId="77777777" w:rsidR="005C3A7E" w:rsidRPr="005C3A7E" w:rsidRDefault="005C3A7E" w:rsidP="002C54B2">
      <w:pPr>
        <w:spacing w:line="360" w:lineRule="auto"/>
        <w:jc w:val="both"/>
        <w:rPr>
          <w:lang w:val="ru-RU"/>
        </w:rPr>
      </w:pPr>
      <w:r w:rsidRPr="005C3A7E">
        <w:rPr>
          <w:lang w:val="ru-RU"/>
        </w:rPr>
        <w:t>Сектор включает три специализированных сегмента:</w:t>
      </w:r>
    </w:p>
    <w:p w14:paraId="0DC55EFF" w14:textId="622D8D78" w:rsidR="005C3A7E" w:rsidRPr="005C3A7E" w:rsidRDefault="005C3A7E" w:rsidP="002C54B2">
      <w:pPr>
        <w:numPr>
          <w:ilvl w:val="0"/>
          <w:numId w:val="3"/>
        </w:numPr>
        <w:spacing w:line="360" w:lineRule="auto"/>
        <w:jc w:val="both"/>
        <w:rPr>
          <w:lang w:val="ru-RU"/>
        </w:rPr>
      </w:pPr>
      <w:r w:rsidRPr="005C3A7E">
        <w:rPr>
          <w:lang w:val="ru-RU"/>
        </w:rPr>
        <w:t>Облигации устойчивого развития</w:t>
      </w:r>
      <w:r w:rsidRPr="005C3A7E">
        <w:t> </w:t>
      </w:r>
      <w:r w:rsidRPr="005C3A7E">
        <w:rPr>
          <w:lang w:val="ru-RU"/>
        </w:rPr>
        <w:t xml:space="preserve">- объединяет "зеленые", "социальные" облигации и облигации устойчивого развития. Для включения требуется соответствие международным стандартам </w:t>
      </w:r>
      <w:r w:rsidRPr="005C3A7E">
        <w:t>ICMA</w:t>
      </w:r>
      <w:r w:rsidRPr="005C3A7E">
        <w:rPr>
          <w:lang w:val="ru-RU"/>
        </w:rPr>
        <w:t xml:space="preserve"> и </w:t>
      </w:r>
      <w:r w:rsidRPr="005C3A7E">
        <w:t>CBI</w:t>
      </w:r>
      <w:r w:rsidRPr="005C3A7E">
        <w:rPr>
          <w:lang w:val="ru-RU"/>
        </w:rPr>
        <w:t xml:space="preserve">, а также российским нормативным требованиям, установленным </w:t>
      </w:r>
      <w:r w:rsidRPr="00A568BA">
        <w:rPr>
          <w:lang w:val="ru-RU"/>
        </w:rPr>
        <w:t>п</w:t>
      </w:r>
      <w:r w:rsidRPr="005C3A7E">
        <w:rPr>
          <w:lang w:val="ru-RU"/>
        </w:rPr>
        <w:t xml:space="preserve">остановлением Правительства </w:t>
      </w:r>
      <w:r w:rsidRPr="00A568BA">
        <w:rPr>
          <w:lang w:val="ru-RU"/>
        </w:rPr>
        <w:t xml:space="preserve">РФ </w:t>
      </w:r>
      <w:r w:rsidRPr="005C3A7E">
        <w:rPr>
          <w:lang w:val="ru-RU"/>
        </w:rPr>
        <w:t>№1587 от 21.09.2021, включая обязательную независимую верификацию.</w:t>
      </w:r>
    </w:p>
    <w:p w14:paraId="67DA162E" w14:textId="7497754D" w:rsidR="005C3A7E" w:rsidRPr="005C3A7E" w:rsidRDefault="005C3A7E" w:rsidP="002C54B2">
      <w:pPr>
        <w:numPr>
          <w:ilvl w:val="0"/>
          <w:numId w:val="3"/>
        </w:numPr>
        <w:spacing w:line="360" w:lineRule="auto"/>
        <w:jc w:val="both"/>
        <w:rPr>
          <w:lang w:val="ru-RU"/>
        </w:rPr>
      </w:pPr>
      <w:r w:rsidRPr="005C3A7E">
        <w:rPr>
          <w:lang w:val="ru-RU"/>
        </w:rPr>
        <w:t xml:space="preserve">Облигации, связанные с </w:t>
      </w:r>
      <w:r w:rsidRPr="00A568BA">
        <w:rPr>
          <w:lang w:val="ru-RU"/>
        </w:rPr>
        <w:t>целями устойчивого развития (</w:t>
      </w:r>
      <w:r w:rsidRPr="005C3A7E">
        <w:rPr>
          <w:lang w:val="ru-RU"/>
        </w:rPr>
        <w:t>ЦУР</w:t>
      </w:r>
      <w:r w:rsidRPr="00A568BA">
        <w:rPr>
          <w:lang w:val="ru-RU"/>
        </w:rPr>
        <w:t xml:space="preserve">) </w:t>
      </w:r>
      <w:r w:rsidRPr="005C3A7E">
        <w:rPr>
          <w:lang w:val="ru-RU"/>
        </w:rPr>
        <w:t xml:space="preserve">- включает инструменты, соответствующие целям устойчивого развития и климатического перехода. </w:t>
      </w:r>
    </w:p>
    <w:p w14:paraId="3491CFBC" w14:textId="1E42EBB3" w:rsidR="005C3A7E" w:rsidRPr="005C3A7E" w:rsidRDefault="005C3A7E" w:rsidP="002C54B2">
      <w:pPr>
        <w:numPr>
          <w:ilvl w:val="0"/>
          <w:numId w:val="3"/>
        </w:numPr>
        <w:spacing w:line="360" w:lineRule="auto"/>
        <w:jc w:val="both"/>
        <w:rPr>
          <w:lang w:val="ru-RU"/>
        </w:rPr>
      </w:pPr>
      <w:r w:rsidRPr="005C3A7E">
        <w:rPr>
          <w:lang w:val="ru-RU"/>
        </w:rPr>
        <w:t>Национальные и адаптационные проекты</w:t>
      </w:r>
      <w:r w:rsidRPr="00A568BA">
        <w:rPr>
          <w:lang w:val="ru-RU"/>
        </w:rPr>
        <w:t xml:space="preserve"> </w:t>
      </w:r>
      <w:r w:rsidRPr="005C3A7E">
        <w:rPr>
          <w:lang w:val="ru-RU"/>
        </w:rPr>
        <w:t>- ориентирован на финансирование приоритетных государственных программ, включая нацпроект "Экология"</w:t>
      </w:r>
      <w:r w:rsidR="009130C9">
        <w:rPr>
          <w:lang w:val="ru-RU"/>
        </w:rPr>
        <w:t xml:space="preserve"> </w:t>
      </w:r>
      <w:r w:rsidRPr="005C3A7E">
        <w:rPr>
          <w:lang w:val="ru-RU"/>
        </w:rPr>
        <w:t xml:space="preserve">и другие. </w:t>
      </w:r>
    </w:p>
    <w:p w14:paraId="5E063E24" w14:textId="2380D13F" w:rsidR="009130C9" w:rsidRDefault="009130C9" w:rsidP="002C54B2">
      <w:pPr>
        <w:spacing w:line="360" w:lineRule="auto"/>
        <w:jc w:val="both"/>
        <w:rPr>
          <w:lang w:val="ru-RU"/>
        </w:rPr>
      </w:pPr>
      <w:r w:rsidRPr="009130C9">
        <w:rPr>
          <w:lang w:val="ru-RU"/>
        </w:rPr>
        <w:t xml:space="preserve">Для включения в категорию устойчивого финансирования </w:t>
      </w:r>
      <w:r>
        <w:rPr>
          <w:lang w:val="ru-RU"/>
        </w:rPr>
        <w:t>«</w:t>
      </w:r>
      <w:r w:rsidRPr="009130C9">
        <w:rPr>
          <w:lang w:val="ru-RU"/>
        </w:rPr>
        <w:t>зелёные</w:t>
      </w:r>
      <w:r>
        <w:rPr>
          <w:lang w:val="ru-RU"/>
        </w:rPr>
        <w:t>»</w:t>
      </w:r>
      <w:r w:rsidRPr="009130C9">
        <w:rPr>
          <w:lang w:val="ru-RU"/>
        </w:rPr>
        <w:t xml:space="preserve">, </w:t>
      </w:r>
      <w:r>
        <w:rPr>
          <w:lang w:val="ru-RU"/>
        </w:rPr>
        <w:t>«</w:t>
      </w:r>
      <w:r w:rsidRPr="009130C9">
        <w:rPr>
          <w:lang w:val="ru-RU"/>
        </w:rPr>
        <w:t>социальные</w:t>
      </w:r>
      <w:r>
        <w:rPr>
          <w:lang w:val="ru-RU"/>
        </w:rPr>
        <w:t>»</w:t>
      </w:r>
      <w:r w:rsidRPr="009130C9">
        <w:rPr>
          <w:lang w:val="ru-RU"/>
        </w:rPr>
        <w:t xml:space="preserve"> облигации и </w:t>
      </w:r>
      <w:r>
        <w:rPr>
          <w:lang w:val="ru-RU"/>
        </w:rPr>
        <w:t>«</w:t>
      </w:r>
      <w:r w:rsidRPr="009130C9">
        <w:rPr>
          <w:lang w:val="ru-RU"/>
        </w:rPr>
        <w:t>облигации устойчивого развития</w:t>
      </w:r>
      <w:r>
        <w:rPr>
          <w:lang w:val="ru-RU"/>
        </w:rPr>
        <w:t>»</w:t>
      </w:r>
      <w:r w:rsidRPr="009130C9">
        <w:rPr>
          <w:lang w:val="ru-RU"/>
        </w:rPr>
        <w:t xml:space="preserve"> должны соответствовать установленным международным и российским стандартам. Выпуски принимаются при условии соответствия принципам </w:t>
      </w:r>
      <w:r>
        <w:rPr>
          <w:lang w:val="ru-RU"/>
        </w:rPr>
        <w:t>«</w:t>
      </w:r>
      <w:r w:rsidRPr="009130C9">
        <w:rPr>
          <w:lang w:val="ru-RU"/>
        </w:rPr>
        <w:t>зелёных</w:t>
      </w:r>
      <w:r>
        <w:rPr>
          <w:lang w:val="ru-RU"/>
        </w:rPr>
        <w:t>»</w:t>
      </w:r>
      <w:r w:rsidRPr="009130C9">
        <w:rPr>
          <w:lang w:val="ru-RU"/>
        </w:rPr>
        <w:t xml:space="preserve"> (GBP) и социальных (SBP) облигаций Международной ассоциации рынков капитала (ICMA), стандартам Инициативы климатических облигаций (CBI). </w:t>
      </w:r>
      <w:r>
        <w:rPr>
          <w:lang w:val="ru-RU"/>
        </w:rPr>
        <w:t>Также</w:t>
      </w:r>
      <w:r w:rsidRPr="009130C9">
        <w:rPr>
          <w:lang w:val="ru-RU"/>
        </w:rPr>
        <w:t xml:space="preserve"> требуется соблюдение российских нормативных требований, включая критерии Постановления Правительства РФ №1587 от 21.09.2021 и стандарты эмиссии зелёных финансовых инструментов. Обязательным условием является наличие независимой внешней верификации, подтверждающей соответствие выпуска, инвестиционного проекта или корпоративной политики эмитента указанным стандартам. Верификация должна проводиться аккредитованными </w:t>
      </w:r>
      <w:r w:rsidRPr="009130C9">
        <w:rPr>
          <w:lang w:val="ru-RU"/>
        </w:rPr>
        <w:lastRenderedPageBreak/>
        <w:t>организациями в установленном порядке, что гарантирует прозрачность и достоверность заявленных характеристик финансовых инструментов.</w:t>
      </w:r>
    </w:p>
    <w:p w14:paraId="05047069" w14:textId="6A3215EC" w:rsidR="009130C9" w:rsidRPr="009130C9" w:rsidRDefault="009130C9" w:rsidP="002C54B2">
      <w:pPr>
        <w:spacing w:line="360" w:lineRule="auto"/>
        <w:jc w:val="both"/>
        <w:rPr>
          <w:lang w:val="ru-RU"/>
        </w:rPr>
      </w:pPr>
      <w:r w:rsidRPr="009130C9">
        <w:rPr>
          <w:lang w:val="ru-RU"/>
        </w:rPr>
        <w:t xml:space="preserve">Сегмент облигаций, связанных с целями устойчивого развития, допускает включение двух видов ценных бумаг: "облигаций, связанных с целями устойчивого развития" и "облигаций климатического перехода". Для их включения необходимо соответствие выпуска, инвестиционного проекта или политики эмитента одному из следующих стандартов: международным принципам </w:t>
      </w:r>
      <w:r w:rsidR="00C022E7" w:rsidRPr="005C3A7E">
        <w:rPr>
          <w:lang w:val="ru-RU"/>
        </w:rPr>
        <w:t>Международной ассоциации рынков капитала (ICMA) или Международной некоммерческой организации "Инициатива климатических облигаций" (CBI)</w:t>
      </w:r>
      <w:r w:rsidRPr="009130C9">
        <w:rPr>
          <w:lang w:val="ru-RU"/>
        </w:rPr>
        <w:t xml:space="preserve">, российским нормативным требованиям, либо </w:t>
      </w:r>
      <w:proofErr w:type="spellStart"/>
      <w:r w:rsidRPr="009130C9">
        <w:rPr>
          <w:lang w:val="ru-RU"/>
        </w:rPr>
        <w:t>международно</w:t>
      </w:r>
      <w:proofErr w:type="spellEnd"/>
      <w:r w:rsidRPr="009130C9">
        <w:rPr>
          <w:lang w:val="ru-RU"/>
        </w:rPr>
        <w:t xml:space="preserve"> признанным климатическим сценариям, лежащим в основе стратегии климатического перехода компании-эмитента. Обязательным условием является проведение независимой внешней оценки соответствия установленным критериям.</w:t>
      </w:r>
    </w:p>
    <w:p w14:paraId="1E3F4F52" w14:textId="67C4A61F" w:rsidR="009130C9" w:rsidRDefault="009130C9" w:rsidP="002C54B2">
      <w:pPr>
        <w:spacing w:line="360" w:lineRule="auto"/>
        <w:jc w:val="both"/>
        <w:rPr>
          <w:lang w:val="ru-RU"/>
        </w:rPr>
      </w:pPr>
      <w:r w:rsidRPr="009130C9">
        <w:rPr>
          <w:lang w:val="ru-RU"/>
        </w:rPr>
        <w:t>Категория Национальных и адаптационных проектов предусматривает включение облигаций, соответствующих приоритетным государственным программам, включая нацпроекты "Экология", "Жилье и городская среда"</w:t>
      </w:r>
      <w:r>
        <w:rPr>
          <w:lang w:val="ru-RU"/>
        </w:rPr>
        <w:t xml:space="preserve"> и другие</w:t>
      </w:r>
      <w:r w:rsidRPr="009130C9">
        <w:rPr>
          <w:lang w:val="ru-RU"/>
        </w:rPr>
        <w:t xml:space="preserve">, а также федеральный проект по внедрению наилучших доступных технологий. </w:t>
      </w:r>
      <w:r>
        <w:rPr>
          <w:lang w:val="ru-RU"/>
        </w:rPr>
        <w:t>О</w:t>
      </w:r>
      <w:r w:rsidRPr="009130C9">
        <w:rPr>
          <w:lang w:val="ru-RU"/>
        </w:rPr>
        <w:t xml:space="preserve">снованием для включения может служить официальное подтверждение соответствия от уполномоченных государственных органов или соответствие критериям адаптационных проектов согласно российским стандартам. </w:t>
      </w:r>
      <w:r>
        <w:rPr>
          <w:lang w:val="ru-RU"/>
        </w:rPr>
        <w:t>О</w:t>
      </w:r>
      <w:r w:rsidRPr="009130C9">
        <w:rPr>
          <w:lang w:val="ru-RU"/>
        </w:rPr>
        <w:t>бязательным требованием остается наличие независимой верификации соответствия.</w:t>
      </w:r>
    </w:p>
    <w:p w14:paraId="1C4DBCDB" w14:textId="1993EFE3" w:rsidR="00975E74" w:rsidRDefault="005C3A7E" w:rsidP="002C54B2">
      <w:pPr>
        <w:spacing w:line="360" w:lineRule="auto"/>
        <w:jc w:val="both"/>
        <w:rPr>
          <w:lang w:val="ru-RU"/>
        </w:rPr>
      </w:pPr>
      <w:r w:rsidRPr="005C3A7E">
        <w:rPr>
          <w:lang w:val="ru-RU"/>
        </w:rPr>
        <w:t>Лица, подготовившие независимую внешнюю оценку</w:t>
      </w:r>
      <w:r>
        <w:rPr>
          <w:lang w:val="ru-RU"/>
        </w:rPr>
        <w:t xml:space="preserve"> (верификаторы)</w:t>
      </w:r>
      <w:r w:rsidRPr="005C3A7E">
        <w:rPr>
          <w:lang w:val="ru-RU"/>
        </w:rPr>
        <w:t>, должны входить в перечень верификаторов Государственной корпорации развития "ВЭБ.РФ", или в список верификаторов, предоставляющих независимую внешнюю оценку, ведение которого осуществляет ICMA</w:t>
      </w:r>
      <w:r w:rsidR="00C022E7">
        <w:rPr>
          <w:lang w:val="ru-RU"/>
        </w:rPr>
        <w:t xml:space="preserve"> или </w:t>
      </w:r>
      <w:r w:rsidRPr="005C3A7E">
        <w:rPr>
          <w:lang w:val="ru-RU"/>
        </w:rPr>
        <w:t xml:space="preserve">CBI. </w:t>
      </w:r>
      <w:r w:rsidR="00C022E7">
        <w:rPr>
          <w:lang w:val="ru-RU"/>
        </w:rPr>
        <w:t>Практический опыт показывает, что эмитенты «зеленых» инструментов финансирования нередко проводят верификацию одновременно у российских и у международных верификаторов.</w:t>
      </w:r>
    </w:p>
    <w:p w14:paraId="2B1273AF" w14:textId="77777777" w:rsidR="00B12684" w:rsidRDefault="00B12684" w:rsidP="002C54B2">
      <w:pPr>
        <w:spacing w:line="360" w:lineRule="auto"/>
        <w:jc w:val="both"/>
        <w:rPr>
          <w:lang w:val="ru-RU"/>
        </w:rPr>
      </w:pPr>
    </w:p>
    <w:p w14:paraId="05F84C63" w14:textId="77777777" w:rsidR="003F3804" w:rsidRDefault="003F3804" w:rsidP="002C54B2">
      <w:pPr>
        <w:spacing w:line="360" w:lineRule="auto"/>
        <w:jc w:val="both"/>
        <w:rPr>
          <w:rFonts w:asciiTheme="majorHAnsi" w:eastAsiaTheme="majorEastAsia" w:hAnsiTheme="majorHAnsi" w:cstheme="majorBidi"/>
          <w:color w:val="0F4761" w:themeColor="accent1" w:themeShade="BF"/>
          <w:sz w:val="28"/>
          <w:szCs w:val="28"/>
          <w:lang w:val="ru-RU"/>
        </w:rPr>
      </w:pPr>
      <w:r>
        <w:rPr>
          <w:sz w:val="28"/>
          <w:szCs w:val="28"/>
          <w:lang w:val="ru-RU"/>
        </w:rPr>
        <w:br w:type="page"/>
      </w:r>
    </w:p>
    <w:p w14:paraId="279F943E" w14:textId="52AA30C0" w:rsidR="00975E74" w:rsidRDefault="00975E74" w:rsidP="002C54B2">
      <w:pPr>
        <w:pStyle w:val="1"/>
        <w:spacing w:line="360" w:lineRule="auto"/>
        <w:jc w:val="both"/>
        <w:rPr>
          <w:sz w:val="28"/>
          <w:szCs w:val="28"/>
          <w:lang w:val="ru-RU"/>
        </w:rPr>
      </w:pPr>
      <w:bookmarkStart w:id="5" w:name="_Toc199748209"/>
      <w:r>
        <w:rPr>
          <w:sz w:val="28"/>
          <w:szCs w:val="28"/>
          <w:lang w:val="ru-RU"/>
        </w:rPr>
        <w:lastRenderedPageBreak/>
        <w:t>2. «ЗЕЛЕН</w:t>
      </w:r>
      <w:r w:rsidR="00E46FE8">
        <w:rPr>
          <w:sz w:val="28"/>
          <w:szCs w:val="28"/>
          <w:lang w:val="ru-RU"/>
        </w:rPr>
        <w:t>АЯ</w:t>
      </w:r>
      <w:r>
        <w:rPr>
          <w:sz w:val="28"/>
          <w:szCs w:val="28"/>
          <w:lang w:val="ru-RU"/>
        </w:rPr>
        <w:t>» ТАКСОНОМИ</w:t>
      </w:r>
      <w:r w:rsidR="00E46FE8">
        <w:rPr>
          <w:sz w:val="28"/>
          <w:szCs w:val="28"/>
          <w:lang w:val="ru-RU"/>
        </w:rPr>
        <w:t>Я</w:t>
      </w:r>
      <w:r>
        <w:rPr>
          <w:sz w:val="28"/>
          <w:szCs w:val="28"/>
          <w:lang w:val="ru-RU"/>
        </w:rPr>
        <w:t xml:space="preserve"> ПРОЕКТОВ ПО МЕХАНИЗМАМ «ЗЕЛЕНОГО» ФИНАНСИРОВАНИЯ В РЕСПУБЛИКЕ КАЗАХСТАН</w:t>
      </w:r>
      <w:bookmarkEnd w:id="5"/>
    </w:p>
    <w:p w14:paraId="0A3E37B3" w14:textId="3798DD6D" w:rsidR="003F3804" w:rsidRPr="003F3804" w:rsidRDefault="003F3804" w:rsidP="002C54B2">
      <w:pPr>
        <w:pStyle w:val="2"/>
        <w:spacing w:line="360" w:lineRule="auto"/>
        <w:jc w:val="both"/>
        <w:rPr>
          <w:sz w:val="24"/>
          <w:szCs w:val="24"/>
          <w:lang w:val="ru-RU"/>
        </w:rPr>
      </w:pPr>
      <w:bookmarkStart w:id="6" w:name="_Toc199748210"/>
      <w:r>
        <w:rPr>
          <w:sz w:val="24"/>
          <w:szCs w:val="24"/>
          <w:lang w:val="ru-RU"/>
        </w:rPr>
        <w:t>2</w:t>
      </w:r>
      <w:r w:rsidRPr="003F3804">
        <w:rPr>
          <w:sz w:val="24"/>
          <w:szCs w:val="24"/>
          <w:lang w:val="ru-RU"/>
        </w:rPr>
        <w:t xml:space="preserve">.1. ТРЕБОВАНИЯ </w:t>
      </w:r>
      <w:r w:rsidR="005B1318">
        <w:rPr>
          <w:sz w:val="24"/>
          <w:szCs w:val="24"/>
          <w:lang w:val="ru-RU"/>
        </w:rPr>
        <w:t>НАЦИОНАЛЬНОГО ЗАКОНОДАТЕЛЬСТВА</w:t>
      </w:r>
      <w:bookmarkEnd w:id="6"/>
    </w:p>
    <w:p w14:paraId="2911D1BD" w14:textId="77777777" w:rsidR="00D03829" w:rsidRPr="00D03829" w:rsidRDefault="00D03829" w:rsidP="00D03829">
      <w:pPr>
        <w:spacing w:line="360" w:lineRule="auto"/>
        <w:jc w:val="both"/>
        <w:rPr>
          <w:lang w:val="ru-RU"/>
        </w:rPr>
      </w:pPr>
      <w:r w:rsidRPr="00D03829">
        <w:rPr>
          <w:lang w:val="ru-RU"/>
        </w:rPr>
        <w:t xml:space="preserve">Развитие механизмов «зеленого» финансирования в Республике Казахстан опирается на формирование нормативной базы и институциональной инфраструктуры, включающей национальную таксономию «зеленых» проектов, специализированные финансовые платформы (в частности, Международный финансовый центр «Астана» – </w:t>
      </w:r>
      <w:r w:rsidRPr="00D03829">
        <w:t>AIFC</w:t>
      </w:r>
      <w:r w:rsidRPr="00D03829">
        <w:rPr>
          <w:lang w:val="ru-RU"/>
        </w:rPr>
        <w:t xml:space="preserve">) и требования фондовых бирж, таких как </w:t>
      </w:r>
      <w:r w:rsidRPr="00D03829">
        <w:t>KASE</w:t>
      </w:r>
      <w:r w:rsidRPr="00D03829">
        <w:rPr>
          <w:lang w:val="ru-RU"/>
        </w:rPr>
        <w:t xml:space="preserve"> и </w:t>
      </w:r>
      <w:r w:rsidRPr="00D03829">
        <w:t>AIX</w:t>
      </w:r>
      <w:r w:rsidRPr="00D03829">
        <w:rPr>
          <w:lang w:val="ru-RU"/>
        </w:rPr>
        <w:t>. Эти инструменты обеспечивают отбор, структурирование и реализацию проектов, соответствующих целям устойчивого развития, климатической повестке и принципу «не нанеси значительного вреда» (</w:t>
      </w:r>
      <w:r w:rsidRPr="00D03829">
        <w:t>DNSH</w:t>
      </w:r>
      <w:r w:rsidRPr="00D03829">
        <w:rPr>
          <w:lang w:val="ru-RU"/>
        </w:rPr>
        <w:t>).</w:t>
      </w:r>
    </w:p>
    <w:p w14:paraId="694647EC" w14:textId="17B7518A" w:rsidR="00D03829" w:rsidRPr="00D03829" w:rsidRDefault="00D03829" w:rsidP="00D03829">
      <w:pPr>
        <w:spacing w:line="360" w:lineRule="auto"/>
        <w:jc w:val="both"/>
        <w:rPr>
          <w:lang w:val="ru-RU"/>
        </w:rPr>
      </w:pPr>
      <w:r w:rsidRPr="00D03829">
        <w:rPr>
          <w:lang w:val="ru-RU"/>
        </w:rPr>
        <w:t xml:space="preserve">Согласно действующему законодательству, основой для «зеленого» финансирования в Казахстане выступают Экологический кодекс </w:t>
      </w:r>
      <w:r>
        <w:rPr>
          <w:lang w:val="ru-RU"/>
        </w:rPr>
        <w:t xml:space="preserve">РК </w:t>
      </w:r>
      <w:r w:rsidRPr="00D03829">
        <w:rPr>
          <w:lang w:val="ru-RU"/>
        </w:rPr>
        <w:t>и национальная таксономия, утвержденная постановлением Правительства РК от 31 декабря 2021 года №</w:t>
      </w:r>
      <w:r w:rsidRPr="00D03829">
        <w:rPr>
          <w:rFonts w:ascii="Arial" w:hAnsi="Arial" w:cs="Arial"/>
          <w:lang w:val="ru-RU"/>
        </w:rPr>
        <w:t> </w:t>
      </w:r>
      <w:r w:rsidRPr="00D03829">
        <w:rPr>
          <w:lang w:val="ru-RU"/>
        </w:rPr>
        <w:t xml:space="preserve">996. </w:t>
      </w:r>
      <w:r w:rsidRPr="00D03829">
        <w:rPr>
          <w:rFonts w:ascii="Aptos" w:hAnsi="Aptos" w:cs="Aptos"/>
          <w:lang w:val="ru-RU"/>
        </w:rPr>
        <w:t>Эти</w:t>
      </w:r>
      <w:r w:rsidRPr="00D03829">
        <w:rPr>
          <w:lang w:val="ru-RU"/>
        </w:rPr>
        <w:t xml:space="preserve"> </w:t>
      </w:r>
      <w:r w:rsidRPr="00D03829">
        <w:rPr>
          <w:rFonts w:ascii="Aptos" w:hAnsi="Aptos" w:cs="Aptos"/>
          <w:lang w:val="ru-RU"/>
        </w:rPr>
        <w:t>документы</w:t>
      </w:r>
      <w:r w:rsidRPr="00D03829">
        <w:rPr>
          <w:lang w:val="ru-RU"/>
        </w:rPr>
        <w:t xml:space="preserve"> </w:t>
      </w:r>
      <w:r w:rsidRPr="00D03829">
        <w:rPr>
          <w:rFonts w:ascii="Aptos" w:hAnsi="Aptos" w:cs="Aptos"/>
          <w:lang w:val="ru-RU"/>
        </w:rPr>
        <w:t>определяют</w:t>
      </w:r>
      <w:r w:rsidRPr="00D03829">
        <w:rPr>
          <w:lang w:val="ru-RU"/>
        </w:rPr>
        <w:t xml:space="preserve"> </w:t>
      </w:r>
      <w:r w:rsidRPr="00D03829">
        <w:rPr>
          <w:rFonts w:ascii="Aptos" w:hAnsi="Aptos" w:cs="Aptos"/>
          <w:lang w:val="ru-RU"/>
        </w:rPr>
        <w:t>перечень</w:t>
      </w:r>
      <w:r w:rsidRPr="00D03829">
        <w:rPr>
          <w:lang w:val="ru-RU"/>
        </w:rPr>
        <w:t xml:space="preserve"> </w:t>
      </w:r>
      <w:r w:rsidRPr="00D03829">
        <w:rPr>
          <w:rFonts w:ascii="Aptos" w:hAnsi="Aptos" w:cs="Aptos"/>
          <w:lang w:val="ru-RU"/>
        </w:rPr>
        <w:t>видов</w:t>
      </w:r>
      <w:r w:rsidRPr="00D03829">
        <w:rPr>
          <w:lang w:val="ru-RU"/>
        </w:rPr>
        <w:t xml:space="preserve"> </w:t>
      </w:r>
      <w:r w:rsidRPr="00D03829">
        <w:rPr>
          <w:rFonts w:ascii="Aptos" w:hAnsi="Aptos" w:cs="Aptos"/>
          <w:lang w:val="ru-RU"/>
        </w:rPr>
        <w:t>деятельности</w:t>
      </w:r>
      <w:r w:rsidRPr="00D03829">
        <w:rPr>
          <w:lang w:val="ru-RU"/>
        </w:rPr>
        <w:t xml:space="preserve">, </w:t>
      </w:r>
      <w:r w:rsidRPr="00D03829">
        <w:rPr>
          <w:rFonts w:ascii="Aptos" w:hAnsi="Aptos" w:cs="Aptos"/>
          <w:lang w:val="ru-RU"/>
        </w:rPr>
        <w:t>признаваемых</w:t>
      </w:r>
      <w:r w:rsidRPr="00D03829">
        <w:rPr>
          <w:lang w:val="ru-RU"/>
        </w:rPr>
        <w:t xml:space="preserve"> </w:t>
      </w:r>
      <w:r w:rsidRPr="00D03829">
        <w:rPr>
          <w:rFonts w:ascii="Aptos" w:hAnsi="Aptos" w:cs="Aptos"/>
          <w:lang w:val="ru-RU"/>
        </w:rPr>
        <w:t>экологически</w:t>
      </w:r>
      <w:r w:rsidRPr="00D03829">
        <w:rPr>
          <w:lang w:val="ru-RU"/>
        </w:rPr>
        <w:t xml:space="preserve"> </w:t>
      </w:r>
      <w:r w:rsidRPr="00D03829">
        <w:rPr>
          <w:rFonts w:ascii="Aptos" w:hAnsi="Aptos" w:cs="Aptos"/>
          <w:lang w:val="ru-RU"/>
        </w:rPr>
        <w:t>значимыми</w:t>
      </w:r>
      <w:r w:rsidRPr="00D03829">
        <w:rPr>
          <w:lang w:val="ru-RU"/>
        </w:rPr>
        <w:t xml:space="preserve">, </w:t>
      </w:r>
      <w:r w:rsidRPr="00D03829">
        <w:rPr>
          <w:rFonts w:ascii="Aptos" w:hAnsi="Aptos" w:cs="Aptos"/>
          <w:lang w:val="ru-RU"/>
        </w:rPr>
        <w:t>и</w:t>
      </w:r>
      <w:r w:rsidRPr="00D03829">
        <w:rPr>
          <w:lang w:val="ru-RU"/>
        </w:rPr>
        <w:t xml:space="preserve"> </w:t>
      </w:r>
      <w:r w:rsidRPr="00D03829">
        <w:rPr>
          <w:rFonts w:ascii="Aptos" w:hAnsi="Aptos" w:cs="Aptos"/>
          <w:lang w:val="ru-RU"/>
        </w:rPr>
        <w:t>формируют</w:t>
      </w:r>
      <w:r w:rsidRPr="00D03829">
        <w:rPr>
          <w:lang w:val="ru-RU"/>
        </w:rPr>
        <w:t xml:space="preserve"> </w:t>
      </w:r>
      <w:r w:rsidRPr="00D03829">
        <w:rPr>
          <w:rFonts w:ascii="Aptos" w:hAnsi="Aptos" w:cs="Aptos"/>
          <w:lang w:val="ru-RU"/>
        </w:rPr>
        <w:t>рамки</w:t>
      </w:r>
      <w:r w:rsidRPr="00D03829">
        <w:rPr>
          <w:lang w:val="ru-RU"/>
        </w:rPr>
        <w:t xml:space="preserve"> </w:t>
      </w:r>
      <w:r w:rsidRPr="00D03829">
        <w:rPr>
          <w:rFonts w:ascii="Aptos" w:hAnsi="Aptos" w:cs="Aptos"/>
          <w:lang w:val="ru-RU"/>
        </w:rPr>
        <w:t>для</w:t>
      </w:r>
      <w:r w:rsidRPr="00D03829">
        <w:rPr>
          <w:lang w:val="ru-RU"/>
        </w:rPr>
        <w:t xml:space="preserve"> </w:t>
      </w:r>
      <w:r w:rsidRPr="00D03829">
        <w:rPr>
          <w:rFonts w:ascii="Aptos" w:hAnsi="Aptos" w:cs="Aptos"/>
          <w:lang w:val="ru-RU"/>
        </w:rPr>
        <w:t>выпуска</w:t>
      </w:r>
      <w:r w:rsidRPr="00D03829">
        <w:rPr>
          <w:lang w:val="ru-RU"/>
        </w:rPr>
        <w:t xml:space="preserve"> </w:t>
      </w:r>
      <w:r w:rsidRPr="00D03829">
        <w:rPr>
          <w:rFonts w:ascii="Aptos" w:hAnsi="Aptos" w:cs="Aptos"/>
          <w:lang w:val="ru-RU"/>
        </w:rPr>
        <w:t>зеленых</w:t>
      </w:r>
      <w:r w:rsidRPr="00D03829">
        <w:rPr>
          <w:lang w:val="ru-RU"/>
        </w:rPr>
        <w:t xml:space="preserve"> </w:t>
      </w:r>
      <w:r w:rsidRPr="00D03829">
        <w:rPr>
          <w:rFonts w:ascii="Aptos" w:hAnsi="Aptos" w:cs="Aptos"/>
          <w:lang w:val="ru-RU"/>
        </w:rPr>
        <w:t>финансовых</w:t>
      </w:r>
      <w:r w:rsidRPr="00D03829">
        <w:rPr>
          <w:lang w:val="ru-RU"/>
        </w:rPr>
        <w:t xml:space="preserve"> </w:t>
      </w:r>
      <w:r w:rsidRPr="00D03829">
        <w:rPr>
          <w:rFonts w:ascii="Aptos" w:hAnsi="Aptos" w:cs="Aptos"/>
          <w:lang w:val="ru-RU"/>
        </w:rPr>
        <w:t>инструментов</w:t>
      </w:r>
      <w:r w:rsidRPr="00D03829">
        <w:rPr>
          <w:lang w:val="ru-RU"/>
        </w:rPr>
        <w:t xml:space="preserve">, </w:t>
      </w:r>
      <w:r w:rsidRPr="00D03829">
        <w:rPr>
          <w:rFonts w:ascii="Aptos" w:hAnsi="Aptos" w:cs="Aptos"/>
          <w:lang w:val="ru-RU"/>
        </w:rPr>
        <w:t>таких</w:t>
      </w:r>
      <w:r w:rsidRPr="00D03829">
        <w:rPr>
          <w:lang w:val="ru-RU"/>
        </w:rPr>
        <w:t xml:space="preserve"> </w:t>
      </w:r>
      <w:r w:rsidRPr="00D03829">
        <w:rPr>
          <w:rFonts w:ascii="Aptos" w:hAnsi="Aptos" w:cs="Aptos"/>
          <w:lang w:val="ru-RU"/>
        </w:rPr>
        <w:t>как</w:t>
      </w:r>
      <w:r w:rsidRPr="00D03829">
        <w:rPr>
          <w:lang w:val="ru-RU"/>
        </w:rPr>
        <w:t xml:space="preserve"> </w:t>
      </w:r>
      <w:r w:rsidRPr="00D03829">
        <w:rPr>
          <w:rFonts w:ascii="Aptos" w:hAnsi="Aptos" w:cs="Aptos"/>
          <w:lang w:val="ru-RU"/>
        </w:rPr>
        <w:t>облигации</w:t>
      </w:r>
      <w:r w:rsidRPr="00D03829">
        <w:rPr>
          <w:lang w:val="ru-RU"/>
        </w:rPr>
        <w:t xml:space="preserve"> </w:t>
      </w:r>
      <w:r w:rsidRPr="00D03829">
        <w:rPr>
          <w:rFonts w:ascii="Aptos" w:hAnsi="Aptos" w:cs="Aptos"/>
          <w:lang w:val="ru-RU"/>
        </w:rPr>
        <w:t>и</w:t>
      </w:r>
      <w:r w:rsidRPr="00D03829">
        <w:rPr>
          <w:lang w:val="ru-RU"/>
        </w:rPr>
        <w:t xml:space="preserve"> </w:t>
      </w:r>
      <w:r w:rsidRPr="00D03829">
        <w:rPr>
          <w:rFonts w:ascii="Aptos" w:hAnsi="Aptos" w:cs="Aptos"/>
          <w:lang w:val="ru-RU"/>
        </w:rPr>
        <w:t>кредиты</w:t>
      </w:r>
      <w:r w:rsidRPr="00D03829">
        <w:rPr>
          <w:lang w:val="ru-RU"/>
        </w:rPr>
        <w:t>.</w:t>
      </w:r>
    </w:p>
    <w:p w14:paraId="4842183A" w14:textId="77777777" w:rsidR="00D03829" w:rsidRPr="00D03829" w:rsidRDefault="00D03829" w:rsidP="00D03829">
      <w:pPr>
        <w:spacing w:line="360" w:lineRule="auto"/>
        <w:jc w:val="both"/>
        <w:rPr>
          <w:lang w:val="ru-RU"/>
        </w:rPr>
      </w:pPr>
      <w:r w:rsidRPr="00D03829">
        <w:rPr>
          <w:lang w:val="ru-RU"/>
        </w:rPr>
        <w:t xml:space="preserve">Проекты, относящиеся к «зеленым», должны быть направлены на достижение измеримого экологического эффекта — например, снижение выбросов парниковых газов, повышение энергоэффективности, использование возобновляемых источников энергии, устойчивое водопользование и управление отходами. Обязательным условием является соответствие принципу </w:t>
      </w:r>
      <w:r w:rsidRPr="00D03829">
        <w:t>DNSH</w:t>
      </w:r>
      <w:r w:rsidRPr="00D03829">
        <w:rPr>
          <w:lang w:val="ru-RU"/>
        </w:rPr>
        <w:t>: реализация проекта не должна оказывать вредного воздействия на другие экологические сферы (биоразнообразие, здоровье населения, водные ресурсы и т.д.).</w:t>
      </w:r>
    </w:p>
    <w:p w14:paraId="663F9053" w14:textId="5131F3A7" w:rsidR="003F3804" w:rsidRDefault="00D03829" w:rsidP="002C54B2">
      <w:pPr>
        <w:spacing w:line="360" w:lineRule="auto"/>
        <w:jc w:val="both"/>
        <w:rPr>
          <w:lang w:val="ru-RU"/>
        </w:rPr>
      </w:pPr>
      <w:r w:rsidRPr="00D03829">
        <w:rPr>
          <w:lang w:val="ru-RU"/>
        </w:rPr>
        <w:t>Включение проекта в категорию «зеленого» требует подготовки комплекса документов: технико-экономического обоснования, экологического и энергетического аудита, плана мониторинга и отчетности, а также заключения независимого верификатора (</w:t>
      </w:r>
      <w:r w:rsidRPr="00D03829">
        <w:t>Second</w:t>
      </w:r>
      <w:r w:rsidRPr="00D03829">
        <w:rPr>
          <w:lang w:val="ru-RU"/>
        </w:rPr>
        <w:t xml:space="preserve"> </w:t>
      </w:r>
      <w:r w:rsidRPr="00D03829">
        <w:t>Party</w:t>
      </w:r>
      <w:r w:rsidRPr="00D03829">
        <w:rPr>
          <w:lang w:val="ru-RU"/>
        </w:rPr>
        <w:t xml:space="preserve"> </w:t>
      </w:r>
      <w:r w:rsidRPr="00D03829">
        <w:t>Opinion</w:t>
      </w:r>
      <w:r w:rsidRPr="00D03829">
        <w:rPr>
          <w:lang w:val="ru-RU"/>
        </w:rPr>
        <w:t>), подтверждающего соответствие критериям таксономии. Все эти материалы должны быть подготовлены до привлечения финансирования и далее обновляться в ходе реализации проекта.</w:t>
      </w:r>
    </w:p>
    <w:p w14:paraId="15CD0FBA" w14:textId="045D2005" w:rsidR="005B1318" w:rsidRPr="003F3804" w:rsidRDefault="005B1318" w:rsidP="002C54B2">
      <w:pPr>
        <w:pStyle w:val="2"/>
        <w:spacing w:line="360" w:lineRule="auto"/>
        <w:jc w:val="both"/>
        <w:rPr>
          <w:sz w:val="24"/>
          <w:szCs w:val="24"/>
          <w:lang w:val="ru-RU"/>
        </w:rPr>
      </w:pPr>
      <w:bookmarkStart w:id="7" w:name="_Toc199748211"/>
      <w:r>
        <w:rPr>
          <w:sz w:val="24"/>
          <w:szCs w:val="24"/>
          <w:lang w:val="ru-RU"/>
        </w:rPr>
        <w:lastRenderedPageBreak/>
        <w:t>2</w:t>
      </w:r>
      <w:r w:rsidRPr="003F3804">
        <w:rPr>
          <w:sz w:val="24"/>
          <w:szCs w:val="24"/>
          <w:lang w:val="ru-RU"/>
        </w:rPr>
        <w:t>.</w:t>
      </w:r>
      <w:r>
        <w:rPr>
          <w:sz w:val="24"/>
          <w:szCs w:val="24"/>
          <w:lang w:val="ru-RU"/>
        </w:rPr>
        <w:t>2</w:t>
      </w:r>
      <w:r w:rsidRPr="003F3804">
        <w:rPr>
          <w:sz w:val="24"/>
          <w:szCs w:val="24"/>
          <w:lang w:val="ru-RU"/>
        </w:rPr>
        <w:t xml:space="preserve">. ТРЕБОВАНИЯ </w:t>
      </w:r>
      <w:r>
        <w:rPr>
          <w:sz w:val="24"/>
          <w:szCs w:val="24"/>
          <w:lang w:val="ru-RU"/>
        </w:rPr>
        <w:t xml:space="preserve">БИРЖ КАЗАХСТАНА </w:t>
      </w:r>
      <w:r w:rsidRPr="003F3804">
        <w:rPr>
          <w:sz w:val="24"/>
          <w:szCs w:val="24"/>
          <w:lang w:val="ru-RU"/>
        </w:rPr>
        <w:t>ПО ВЫПУСКУ «ЗЕЛЕНЫХ» ДОЛГОВЫХ ИНСТРУМЕНТОВ</w:t>
      </w:r>
      <w:bookmarkEnd w:id="7"/>
    </w:p>
    <w:p w14:paraId="0FC6D389" w14:textId="77777777" w:rsidR="00D03829" w:rsidRPr="00D03829" w:rsidRDefault="00D03829" w:rsidP="00D03829">
      <w:pPr>
        <w:spacing w:line="360" w:lineRule="auto"/>
        <w:jc w:val="both"/>
        <w:rPr>
          <w:lang w:val="ru-RU"/>
        </w:rPr>
      </w:pPr>
      <w:r w:rsidRPr="00D03829">
        <w:rPr>
          <w:lang w:val="ru-RU"/>
        </w:rPr>
        <w:t xml:space="preserve">Размещение «зеленых» облигаций и других долговых инструментов возможно на двух ключевых биржевых площадках Казахстана — </w:t>
      </w:r>
      <w:r w:rsidRPr="00D03829">
        <w:t>KASE</w:t>
      </w:r>
      <w:r w:rsidRPr="00D03829">
        <w:rPr>
          <w:lang w:val="ru-RU"/>
        </w:rPr>
        <w:t xml:space="preserve"> (Казахстанская фондовая биржа) и </w:t>
      </w:r>
      <w:r w:rsidRPr="00D03829">
        <w:t>AIX</w:t>
      </w:r>
      <w:r w:rsidRPr="00D03829">
        <w:rPr>
          <w:lang w:val="ru-RU"/>
        </w:rPr>
        <w:t xml:space="preserve"> (</w:t>
      </w:r>
      <w:r w:rsidRPr="00D03829">
        <w:t>Astana</w:t>
      </w:r>
      <w:r w:rsidRPr="00D03829">
        <w:rPr>
          <w:lang w:val="ru-RU"/>
        </w:rPr>
        <w:t xml:space="preserve"> </w:t>
      </w:r>
      <w:r w:rsidRPr="00D03829">
        <w:t>International</w:t>
      </w:r>
      <w:r w:rsidRPr="00D03829">
        <w:rPr>
          <w:lang w:val="ru-RU"/>
        </w:rPr>
        <w:t xml:space="preserve"> </w:t>
      </w:r>
      <w:r w:rsidRPr="00D03829">
        <w:t>Exchange</w:t>
      </w:r>
      <w:r w:rsidRPr="00D03829">
        <w:rPr>
          <w:lang w:val="ru-RU"/>
        </w:rPr>
        <w:t>), функционирующей в юрисдикции Международного финансового центра «Астана». Обе платформы поддерживают выпуск устойчивых финансовых инструментов и предъявляют строгие требования к раскрытию информации, структуре документации и верификации проектов.</w:t>
      </w:r>
    </w:p>
    <w:p w14:paraId="59ADE88A" w14:textId="77777777" w:rsidR="00D03829" w:rsidRPr="00D03829" w:rsidRDefault="00D03829" w:rsidP="00D03829">
      <w:pPr>
        <w:spacing w:line="360" w:lineRule="auto"/>
        <w:jc w:val="both"/>
        <w:rPr>
          <w:lang w:val="ru-RU"/>
        </w:rPr>
      </w:pPr>
      <w:r w:rsidRPr="00D03829">
        <w:rPr>
          <w:lang w:val="ru-RU"/>
        </w:rPr>
        <w:t xml:space="preserve">На </w:t>
      </w:r>
      <w:r w:rsidRPr="00D03829">
        <w:t>KASE</w:t>
      </w:r>
      <w:r w:rsidRPr="00D03829">
        <w:rPr>
          <w:lang w:val="ru-RU"/>
        </w:rPr>
        <w:t xml:space="preserve"> проекты, претендующие на включение в «зеленый» сектор, должны пройти предварительную верификацию и получить заключение независимого эксперта. Эмитент обязан разработать рамочную стратегию (</w:t>
      </w:r>
      <w:r w:rsidRPr="00D03829">
        <w:t>Green</w:t>
      </w:r>
      <w:r w:rsidRPr="00D03829">
        <w:rPr>
          <w:lang w:val="ru-RU"/>
        </w:rPr>
        <w:t xml:space="preserve"> </w:t>
      </w:r>
      <w:r w:rsidRPr="00D03829">
        <w:t>Bond</w:t>
      </w:r>
      <w:r w:rsidRPr="00D03829">
        <w:rPr>
          <w:lang w:val="ru-RU"/>
        </w:rPr>
        <w:t xml:space="preserve"> </w:t>
      </w:r>
      <w:r w:rsidRPr="00D03829">
        <w:t>Framework</w:t>
      </w:r>
      <w:r w:rsidRPr="00D03829">
        <w:rPr>
          <w:lang w:val="ru-RU"/>
        </w:rPr>
        <w:t>), в которой раскрываются цели выпуска, отбор проектов, механизмы управления средствами и подходы к мониторингу. Обязательным является ежегодное предоставление отчетов об использовании привлеченных средств, остатках капитала и достигнутом экологическом эффекте (</w:t>
      </w:r>
      <w:r w:rsidRPr="00D03829">
        <w:t>impact</w:t>
      </w:r>
      <w:r w:rsidRPr="00D03829">
        <w:rPr>
          <w:lang w:val="ru-RU"/>
        </w:rPr>
        <w:t xml:space="preserve"> </w:t>
      </w:r>
      <w:r w:rsidRPr="00D03829">
        <w:t>report</w:t>
      </w:r>
      <w:r w:rsidRPr="00D03829">
        <w:rPr>
          <w:lang w:val="ru-RU"/>
        </w:rPr>
        <w:t>). Эта отчетность публикуется в открытом доступе и контролируется регуляторами.</w:t>
      </w:r>
    </w:p>
    <w:p w14:paraId="7FBED1B1" w14:textId="77777777" w:rsidR="00D03829" w:rsidRPr="00D03829" w:rsidRDefault="00D03829" w:rsidP="00D03829">
      <w:pPr>
        <w:spacing w:line="360" w:lineRule="auto"/>
        <w:jc w:val="both"/>
        <w:rPr>
          <w:lang w:val="ru-RU"/>
        </w:rPr>
      </w:pPr>
      <w:r w:rsidRPr="00D03829">
        <w:t>AIX</w:t>
      </w:r>
      <w:r w:rsidRPr="00D03829">
        <w:rPr>
          <w:lang w:val="ru-RU"/>
        </w:rPr>
        <w:t xml:space="preserve"> ориентируется на международные стандарты — </w:t>
      </w:r>
      <w:r w:rsidRPr="00D03829">
        <w:t>ICMA</w:t>
      </w:r>
      <w:r w:rsidRPr="00D03829">
        <w:rPr>
          <w:lang w:val="ru-RU"/>
        </w:rPr>
        <w:t xml:space="preserve"> </w:t>
      </w:r>
      <w:r w:rsidRPr="00D03829">
        <w:t>Green</w:t>
      </w:r>
      <w:r w:rsidRPr="00D03829">
        <w:rPr>
          <w:lang w:val="ru-RU"/>
        </w:rPr>
        <w:t xml:space="preserve"> </w:t>
      </w:r>
      <w:r w:rsidRPr="00D03829">
        <w:t>Bond</w:t>
      </w:r>
      <w:r w:rsidRPr="00D03829">
        <w:rPr>
          <w:lang w:val="ru-RU"/>
        </w:rPr>
        <w:t xml:space="preserve"> </w:t>
      </w:r>
      <w:r w:rsidRPr="00D03829">
        <w:t>Principles</w:t>
      </w:r>
      <w:r w:rsidRPr="00D03829">
        <w:rPr>
          <w:lang w:val="ru-RU"/>
        </w:rPr>
        <w:t xml:space="preserve">, </w:t>
      </w:r>
      <w:r w:rsidRPr="00D03829">
        <w:t>Climate</w:t>
      </w:r>
      <w:r w:rsidRPr="00D03829">
        <w:rPr>
          <w:lang w:val="ru-RU"/>
        </w:rPr>
        <w:t xml:space="preserve"> </w:t>
      </w:r>
      <w:r w:rsidRPr="00D03829">
        <w:t>Bonds</w:t>
      </w:r>
      <w:r w:rsidRPr="00D03829">
        <w:rPr>
          <w:lang w:val="ru-RU"/>
        </w:rPr>
        <w:t xml:space="preserve"> </w:t>
      </w:r>
      <w:r w:rsidRPr="00D03829">
        <w:t>Initiative</w:t>
      </w:r>
      <w:r w:rsidRPr="00D03829">
        <w:rPr>
          <w:lang w:val="ru-RU"/>
        </w:rPr>
        <w:t xml:space="preserve"> (</w:t>
      </w:r>
      <w:r w:rsidRPr="00D03829">
        <w:t>CBI</w:t>
      </w:r>
      <w:r w:rsidRPr="00D03829">
        <w:rPr>
          <w:lang w:val="ru-RU"/>
        </w:rPr>
        <w:t xml:space="preserve">) и </w:t>
      </w:r>
      <w:r w:rsidRPr="00D03829">
        <w:t>GRI</w:t>
      </w:r>
      <w:r w:rsidRPr="00D03829">
        <w:rPr>
          <w:lang w:val="ru-RU"/>
        </w:rPr>
        <w:t xml:space="preserve"> </w:t>
      </w:r>
      <w:r w:rsidRPr="00D03829">
        <w:t>Standards</w:t>
      </w:r>
      <w:r w:rsidRPr="00D03829">
        <w:rPr>
          <w:lang w:val="ru-RU"/>
        </w:rPr>
        <w:t xml:space="preserve">. Для листинга зеленых облигаций на </w:t>
      </w:r>
      <w:r w:rsidRPr="00D03829">
        <w:t>AIX</w:t>
      </w:r>
      <w:r w:rsidRPr="00D03829">
        <w:rPr>
          <w:lang w:val="ru-RU"/>
        </w:rPr>
        <w:t xml:space="preserve"> требуется наличие </w:t>
      </w:r>
      <w:r w:rsidRPr="00D03829">
        <w:t>Green</w:t>
      </w:r>
      <w:r w:rsidRPr="00D03829">
        <w:rPr>
          <w:lang w:val="ru-RU"/>
        </w:rPr>
        <w:t xml:space="preserve"> </w:t>
      </w:r>
      <w:r w:rsidRPr="00D03829">
        <w:t>Bond</w:t>
      </w:r>
      <w:r w:rsidRPr="00D03829">
        <w:rPr>
          <w:lang w:val="ru-RU"/>
        </w:rPr>
        <w:t xml:space="preserve"> </w:t>
      </w:r>
      <w:r w:rsidRPr="00D03829">
        <w:t>Framework</w:t>
      </w:r>
      <w:r w:rsidRPr="00D03829">
        <w:rPr>
          <w:lang w:val="ru-RU"/>
        </w:rPr>
        <w:t xml:space="preserve">, подтверждение от международного или аккредитованного локального верификатора (например, </w:t>
      </w:r>
      <w:r w:rsidRPr="00D03829">
        <w:t>CICERO</w:t>
      </w:r>
      <w:r w:rsidRPr="00D03829">
        <w:rPr>
          <w:lang w:val="ru-RU"/>
        </w:rPr>
        <w:t xml:space="preserve">, </w:t>
      </w:r>
      <w:r w:rsidRPr="00D03829">
        <w:t>Sustainalytics</w:t>
      </w:r>
      <w:r w:rsidRPr="00D03829">
        <w:rPr>
          <w:lang w:val="ru-RU"/>
        </w:rPr>
        <w:t xml:space="preserve">, </w:t>
      </w:r>
      <w:r w:rsidRPr="00D03829">
        <w:t>ACRA</w:t>
      </w:r>
      <w:r w:rsidRPr="00D03829">
        <w:rPr>
          <w:lang w:val="ru-RU"/>
        </w:rPr>
        <w:t xml:space="preserve"> или </w:t>
      </w:r>
      <w:r w:rsidRPr="00D03829">
        <w:t>Green</w:t>
      </w:r>
      <w:r w:rsidRPr="00D03829">
        <w:rPr>
          <w:lang w:val="ru-RU"/>
        </w:rPr>
        <w:t xml:space="preserve"> </w:t>
      </w:r>
      <w:r w:rsidRPr="00D03829">
        <w:t>Finance</w:t>
      </w:r>
      <w:r w:rsidRPr="00D03829">
        <w:rPr>
          <w:lang w:val="ru-RU"/>
        </w:rPr>
        <w:t xml:space="preserve"> </w:t>
      </w:r>
      <w:r w:rsidRPr="00D03829">
        <w:t>Centre</w:t>
      </w:r>
      <w:r w:rsidRPr="00D03829">
        <w:rPr>
          <w:lang w:val="ru-RU"/>
        </w:rPr>
        <w:t xml:space="preserve">), а также обязательная ежегодная отчетность по экологическому воздействию. Только при выполнении этих условий выпуск может быть включен в «Сектор устойчивого развития» </w:t>
      </w:r>
      <w:r w:rsidRPr="00D03829">
        <w:t>AIX</w:t>
      </w:r>
      <w:r w:rsidRPr="00D03829">
        <w:rPr>
          <w:lang w:val="ru-RU"/>
        </w:rPr>
        <w:t>, что повышает его инвестиционную привлекательность на международном рынке.</w:t>
      </w:r>
    </w:p>
    <w:p w14:paraId="3E685FB8" w14:textId="77777777" w:rsidR="005B1318" w:rsidRDefault="005B1318" w:rsidP="002C54B2">
      <w:pPr>
        <w:spacing w:line="360" w:lineRule="auto"/>
        <w:jc w:val="both"/>
        <w:rPr>
          <w:lang w:val="ru-RU"/>
        </w:rPr>
      </w:pPr>
    </w:p>
    <w:p w14:paraId="66924E27" w14:textId="77777777" w:rsidR="005B1318" w:rsidRPr="00975E74" w:rsidRDefault="005B1318" w:rsidP="002C54B2">
      <w:pPr>
        <w:spacing w:line="360" w:lineRule="auto"/>
        <w:jc w:val="both"/>
        <w:rPr>
          <w:lang w:val="ru-RU"/>
        </w:rPr>
      </w:pPr>
    </w:p>
    <w:p w14:paraId="5B256349" w14:textId="77777777" w:rsidR="003F3804" w:rsidRDefault="003F3804" w:rsidP="002C54B2">
      <w:pPr>
        <w:spacing w:line="360" w:lineRule="auto"/>
        <w:jc w:val="both"/>
        <w:rPr>
          <w:rFonts w:asciiTheme="majorHAnsi" w:eastAsiaTheme="majorEastAsia" w:hAnsiTheme="majorHAnsi" w:cstheme="majorBidi"/>
          <w:color w:val="0F4761" w:themeColor="accent1" w:themeShade="BF"/>
          <w:sz w:val="28"/>
          <w:szCs w:val="28"/>
          <w:lang w:val="ru-RU"/>
        </w:rPr>
      </w:pPr>
      <w:r>
        <w:rPr>
          <w:sz w:val="28"/>
          <w:szCs w:val="28"/>
          <w:lang w:val="ru-RU"/>
        </w:rPr>
        <w:br w:type="page"/>
      </w:r>
    </w:p>
    <w:p w14:paraId="7E2E1168" w14:textId="7C60D431" w:rsidR="00975E74" w:rsidRDefault="00975E74" w:rsidP="002C54B2">
      <w:pPr>
        <w:pStyle w:val="1"/>
        <w:spacing w:line="360" w:lineRule="auto"/>
        <w:jc w:val="both"/>
        <w:rPr>
          <w:sz w:val="28"/>
          <w:szCs w:val="28"/>
          <w:lang w:val="ru-RU"/>
        </w:rPr>
      </w:pPr>
      <w:bookmarkStart w:id="8" w:name="_Toc199748212"/>
      <w:r>
        <w:rPr>
          <w:sz w:val="28"/>
          <w:szCs w:val="28"/>
          <w:lang w:val="ru-RU"/>
        </w:rPr>
        <w:lastRenderedPageBreak/>
        <w:t xml:space="preserve">3. </w:t>
      </w:r>
      <w:bookmarkStart w:id="9" w:name="_Hlk197429106"/>
      <w:r>
        <w:rPr>
          <w:sz w:val="28"/>
          <w:szCs w:val="28"/>
          <w:lang w:val="ru-RU"/>
        </w:rPr>
        <w:t>«ЗЕЛЕН</w:t>
      </w:r>
      <w:r w:rsidR="009E6D4B">
        <w:rPr>
          <w:sz w:val="28"/>
          <w:szCs w:val="28"/>
          <w:lang w:val="ru-RU"/>
        </w:rPr>
        <w:t>ОЕ</w:t>
      </w:r>
      <w:r>
        <w:rPr>
          <w:sz w:val="28"/>
          <w:szCs w:val="28"/>
          <w:lang w:val="ru-RU"/>
        </w:rPr>
        <w:t xml:space="preserve">» </w:t>
      </w:r>
      <w:r w:rsidR="009E6D4B">
        <w:rPr>
          <w:sz w:val="28"/>
          <w:szCs w:val="28"/>
          <w:lang w:val="ru-RU"/>
        </w:rPr>
        <w:t xml:space="preserve">ФИНАНСИРОВАНИЕ </w:t>
      </w:r>
      <w:r>
        <w:rPr>
          <w:sz w:val="28"/>
          <w:szCs w:val="28"/>
          <w:lang w:val="ru-RU"/>
        </w:rPr>
        <w:t>В ЕВРАЗИЙСКОМ ЭКОНОМИЧЕСКОМ СОЮЗЕ</w:t>
      </w:r>
      <w:bookmarkEnd w:id="8"/>
      <w:bookmarkEnd w:id="9"/>
    </w:p>
    <w:p w14:paraId="00126063" w14:textId="3706F3E6" w:rsidR="009E6D4B" w:rsidRPr="003F3804" w:rsidRDefault="009E6D4B" w:rsidP="002C54B2">
      <w:pPr>
        <w:pStyle w:val="2"/>
        <w:spacing w:line="360" w:lineRule="auto"/>
        <w:jc w:val="both"/>
        <w:rPr>
          <w:sz w:val="24"/>
          <w:szCs w:val="24"/>
          <w:lang w:val="ru-RU"/>
        </w:rPr>
      </w:pPr>
      <w:bookmarkStart w:id="10" w:name="_Toc199748213"/>
      <w:r w:rsidRPr="003F3804">
        <w:rPr>
          <w:sz w:val="24"/>
          <w:szCs w:val="24"/>
          <w:lang w:val="ru-RU"/>
        </w:rPr>
        <w:t xml:space="preserve">3.1. </w:t>
      </w:r>
      <w:r>
        <w:rPr>
          <w:sz w:val="24"/>
          <w:szCs w:val="24"/>
          <w:lang w:val="ru-RU"/>
        </w:rPr>
        <w:t xml:space="preserve">ПОДХОДЫ К ГАРМОНИЗАЦИИ </w:t>
      </w:r>
      <w:r w:rsidRPr="009E6D4B">
        <w:rPr>
          <w:sz w:val="24"/>
          <w:szCs w:val="24"/>
          <w:lang w:val="ru-RU"/>
        </w:rPr>
        <w:t>ТРЕБОВАНИЙ К «ЗЕЛЕНОЙ» ТАКСОНОМИИ ПРОЕКТОВ В ЕВРАЗИЙСКОМ ЭКОНОМИЧЕСКОМ СОЮЗЕ</w:t>
      </w:r>
      <w:bookmarkEnd w:id="10"/>
    </w:p>
    <w:p w14:paraId="194A995F" w14:textId="49BEF748" w:rsidR="00244E99" w:rsidRPr="00244E99" w:rsidRDefault="00244E99" w:rsidP="002C54B2">
      <w:pPr>
        <w:spacing w:line="360" w:lineRule="auto"/>
        <w:jc w:val="both"/>
        <w:rPr>
          <w:lang w:val="ru-RU"/>
        </w:rPr>
      </w:pPr>
      <w:r w:rsidRPr="00244E99">
        <w:rPr>
          <w:lang w:val="ru-RU"/>
        </w:rPr>
        <w:t>Модельная таксономия «зеленых» проектов государств-членов Евразийского экономического союза</w:t>
      </w:r>
      <w:r>
        <w:rPr>
          <w:rStyle w:val="ae"/>
          <w:lang w:val="ru-RU"/>
        </w:rPr>
        <w:footnoteReference w:id="2"/>
      </w:r>
      <w:r w:rsidRPr="00244E99">
        <w:rPr>
          <w:lang w:val="ru-RU"/>
        </w:rPr>
        <w:t xml:space="preserve"> </w:t>
      </w:r>
      <w:r>
        <w:rPr>
          <w:lang w:val="ru-RU"/>
        </w:rPr>
        <w:t xml:space="preserve">была </w:t>
      </w:r>
      <w:r w:rsidRPr="00244E99">
        <w:rPr>
          <w:lang w:val="ru-RU"/>
        </w:rPr>
        <w:t xml:space="preserve">разработана </w:t>
      </w:r>
      <w:r>
        <w:rPr>
          <w:lang w:val="ru-RU"/>
        </w:rPr>
        <w:t xml:space="preserve">и одобрена </w:t>
      </w:r>
      <w:r w:rsidRPr="00244E99">
        <w:rPr>
          <w:lang w:val="ru-RU"/>
        </w:rPr>
        <w:t>в соответствии с Договором о ЕАЭС с целью гармонизации подходов к устойчивому финансированию и создания общего финансового рынка. Модельная таксономия служит основой для разработки и актуализации национальных таксономий и обеспечивает недискриминационный доступ «зеленых» финансовых инструментов на рынки стран-участниц.</w:t>
      </w:r>
    </w:p>
    <w:p w14:paraId="0B58546D" w14:textId="2E1498E1" w:rsidR="00244E99" w:rsidRPr="00244E99" w:rsidRDefault="00244E99" w:rsidP="002C54B2">
      <w:pPr>
        <w:spacing w:line="360" w:lineRule="auto"/>
        <w:jc w:val="both"/>
        <w:rPr>
          <w:lang w:val="ru-RU"/>
        </w:rPr>
      </w:pPr>
      <w:r w:rsidRPr="00244E99">
        <w:rPr>
          <w:lang w:val="ru-RU"/>
        </w:rPr>
        <w:t xml:space="preserve">К инструментам «зеленого» финансирования относятся кредиты, облигации (включая государственные, исламские облигации </w:t>
      </w:r>
      <w:r>
        <w:rPr>
          <w:lang w:val="ru-RU"/>
        </w:rPr>
        <w:t xml:space="preserve">- </w:t>
      </w:r>
      <w:proofErr w:type="spellStart"/>
      <w:r w:rsidRPr="00244E99">
        <w:rPr>
          <w:lang w:val="ru-RU"/>
        </w:rPr>
        <w:t>сукук</w:t>
      </w:r>
      <w:proofErr w:type="spellEnd"/>
      <w:r w:rsidRPr="00244E99">
        <w:rPr>
          <w:lang w:val="ru-RU"/>
        </w:rPr>
        <w:t>, конвертируемые), мезонинное и структурированное финансирование. Средства от их выпуска должны в размере 100% направляться на финансирование или рефинансирование «зеленых» проектов, при этом освоение должно происходить в течение 24 месяцев. Временно свободные средства размещаются в соответствии с политикой эмитента.</w:t>
      </w:r>
    </w:p>
    <w:p w14:paraId="5BCF5425" w14:textId="77777777" w:rsidR="00244E99" w:rsidRDefault="00244E99" w:rsidP="002C54B2">
      <w:pPr>
        <w:spacing w:line="360" w:lineRule="auto"/>
        <w:jc w:val="both"/>
        <w:rPr>
          <w:lang w:val="ru-RU"/>
        </w:rPr>
      </w:pPr>
      <w:r w:rsidRPr="00244E99">
        <w:rPr>
          <w:lang w:val="ru-RU"/>
        </w:rPr>
        <w:t>Проекты должны соответствовать принципу «не наносить значительного вреда» (</w:t>
      </w:r>
      <w:r>
        <w:t>do</w:t>
      </w:r>
      <w:r w:rsidRPr="00244E99">
        <w:rPr>
          <w:lang w:val="ru-RU"/>
        </w:rPr>
        <w:t xml:space="preserve"> </w:t>
      </w:r>
      <w:r>
        <w:t>no</w:t>
      </w:r>
      <w:r w:rsidRPr="00244E99">
        <w:rPr>
          <w:lang w:val="ru-RU"/>
        </w:rPr>
        <w:t xml:space="preserve"> </w:t>
      </w:r>
      <w:r w:rsidRPr="00244E99">
        <w:t>significant</w:t>
      </w:r>
      <w:r w:rsidRPr="00244E99">
        <w:rPr>
          <w:lang w:val="ru-RU"/>
        </w:rPr>
        <w:t xml:space="preserve"> </w:t>
      </w:r>
      <w:r>
        <w:rPr>
          <w:lang w:val="en-GB"/>
        </w:rPr>
        <w:t>harm</w:t>
      </w:r>
      <w:r w:rsidRPr="00244E99">
        <w:rPr>
          <w:lang w:val="ru-RU"/>
        </w:rPr>
        <w:t xml:space="preserve">, </w:t>
      </w:r>
      <w:r>
        <w:t>DNSH</w:t>
      </w:r>
      <w:r w:rsidRPr="00244E99">
        <w:rPr>
          <w:lang w:val="ru-RU"/>
        </w:rPr>
        <w:t>), что подтверждается аккредитованными верификаторами. Ключевые экологические эффекты включают снижение выбросов</w:t>
      </w:r>
      <w:r w:rsidRPr="00244E99">
        <w:rPr>
          <w:rFonts w:ascii="Segoe UI" w:hAnsi="Segoe UI" w:cs="Segoe UI"/>
          <w:color w:val="262626"/>
          <w:shd w:val="clear" w:color="auto" w:fill="EFF6FF"/>
          <w:lang w:val="ru-RU"/>
        </w:rPr>
        <w:t xml:space="preserve"> </w:t>
      </w:r>
      <w:r w:rsidRPr="00244E99">
        <w:rPr>
          <w:lang w:val="ru-RU"/>
        </w:rPr>
        <w:t>загрязняющих веществ</w:t>
      </w:r>
      <w:r>
        <w:rPr>
          <w:lang w:val="ru-RU"/>
        </w:rPr>
        <w:t xml:space="preserve">, </w:t>
      </w:r>
      <w:r w:rsidRPr="00244E99">
        <w:rPr>
          <w:lang w:val="ru-RU"/>
        </w:rPr>
        <w:t xml:space="preserve">снижение либо предотвращение выбросов парниковых газов, другие существенные эффекты, которые вносят значительный вклад в улучшение экологической ситуации в регионе реализации проекта «зеленого» развития. </w:t>
      </w:r>
    </w:p>
    <w:p w14:paraId="10C84720" w14:textId="7615DE57" w:rsidR="00244E99" w:rsidRPr="00244E99" w:rsidRDefault="00244E99" w:rsidP="002C54B2">
      <w:pPr>
        <w:spacing w:line="360" w:lineRule="auto"/>
        <w:jc w:val="both"/>
        <w:rPr>
          <w:lang w:val="ru-RU"/>
        </w:rPr>
      </w:pPr>
      <w:r w:rsidRPr="00244E99">
        <w:rPr>
          <w:lang w:val="ru-RU"/>
        </w:rPr>
        <w:t xml:space="preserve">Верификация проводится </w:t>
      </w:r>
      <w:r>
        <w:rPr>
          <w:lang w:val="ru-RU"/>
        </w:rPr>
        <w:t xml:space="preserve">только </w:t>
      </w:r>
      <w:r w:rsidRPr="00244E99">
        <w:rPr>
          <w:lang w:val="ru-RU"/>
        </w:rPr>
        <w:t xml:space="preserve">аккредитованными </w:t>
      </w:r>
      <w:r>
        <w:rPr>
          <w:lang w:val="ru-RU"/>
        </w:rPr>
        <w:t xml:space="preserve">организациями, </w:t>
      </w:r>
      <w:r w:rsidRPr="00244E99">
        <w:rPr>
          <w:lang w:val="ru-RU"/>
        </w:rPr>
        <w:t>включенны</w:t>
      </w:r>
      <w:r>
        <w:rPr>
          <w:lang w:val="ru-RU"/>
        </w:rPr>
        <w:t>ми</w:t>
      </w:r>
      <w:r w:rsidRPr="00244E99">
        <w:rPr>
          <w:lang w:val="ru-RU"/>
        </w:rPr>
        <w:t xml:space="preserve"> в национальные перечни аккредитованных верификаторов, а </w:t>
      </w:r>
      <w:r w:rsidRPr="00244E99">
        <w:rPr>
          <w:lang w:val="ru-RU"/>
        </w:rPr>
        <w:lastRenderedPageBreak/>
        <w:t xml:space="preserve">также верификаторы, имеющие сертификат об аккредитации СВІ и/или включенные в </w:t>
      </w:r>
      <w:r w:rsidRPr="00244E99">
        <w:t>External</w:t>
      </w:r>
      <w:r w:rsidRPr="00244E99">
        <w:rPr>
          <w:lang w:val="ru-RU"/>
        </w:rPr>
        <w:t xml:space="preserve"> </w:t>
      </w:r>
      <w:r w:rsidRPr="00244E99">
        <w:t>Review</w:t>
      </w:r>
      <w:r w:rsidRPr="00244E99">
        <w:rPr>
          <w:lang w:val="ru-RU"/>
        </w:rPr>
        <w:t xml:space="preserve"> </w:t>
      </w:r>
      <w:r w:rsidRPr="00244E99">
        <w:t>Service</w:t>
      </w:r>
      <w:r w:rsidRPr="00244E99">
        <w:rPr>
          <w:lang w:val="ru-RU"/>
        </w:rPr>
        <w:t xml:space="preserve"> </w:t>
      </w:r>
      <w:r w:rsidRPr="00244E99">
        <w:t>Mapping</w:t>
      </w:r>
      <w:r w:rsidRPr="00244E99">
        <w:rPr>
          <w:lang w:val="ru-RU"/>
        </w:rPr>
        <w:t xml:space="preserve"> </w:t>
      </w:r>
      <w:r w:rsidRPr="00244E99">
        <w:t>ICMA</w:t>
      </w:r>
      <w:r w:rsidRPr="00244E99">
        <w:rPr>
          <w:lang w:val="ru-RU"/>
        </w:rPr>
        <w:t>. Для формирования перечня аккредитованных верификаторов государства-члены ЕАЭС направляют информацию в отношении аккредитованных на своей территории верификаторов, удовлетворяющих указанным в абзаце выше критериям, по запросу Евразийской экономической комиссии. Список аккредитованных верификаторов публикуется на сайте Евразийской экономической комиссии. Актуализация перечня верификаторов происходит ежегодно на основании ежегодно представляемой государствами-членами ЕАЭС информации по запросу Евразийской экономической комиссии.</w:t>
      </w:r>
    </w:p>
    <w:p w14:paraId="6E5D57BC" w14:textId="7070AC98" w:rsidR="00244E99" w:rsidRPr="00244E99" w:rsidRDefault="00244E99" w:rsidP="002C54B2">
      <w:pPr>
        <w:spacing w:line="360" w:lineRule="auto"/>
        <w:jc w:val="both"/>
        <w:rPr>
          <w:lang w:val="ru-RU"/>
        </w:rPr>
      </w:pPr>
      <w:r w:rsidRPr="00244E99">
        <w:rPr>
          <w:lang w:val="ru-RU"/>
        </w:rPr>
        <w:t>Инструмент финансирования «зеленых» проектов может выпускаться для обращения на биржах государств-членов, если удовлетворены все требования законодательства страны реализации проекта, а также критерии Модельной таксономии.</w:t>
      </w:r>
    </w:p>
    <w:p w14:paraId="31D09239" w14:textId="3618F3A6" w:rsidR="009E6D4B" w:rsidRPr="00244E99" w:rsidRDefault="00244E99" w:rsidP="002C54B2">
      <w:pPr>
        <w:spacing w:line="360" w:lineRule="auto"/>
        <w:jc w:val="both"/>
        <w:rPr>
          <w:lang w:val="ru-RU"/>
        </w:rPr>
      </w:pPr>
      <w:r w:rsidRPr="00244E99">
        <w:rPr>
          <w:lang w:val="ru-RU"/>
        </w:rPr>
        <w:t xml:space="preserve">Реализация модельной таксономии позволит устранить барьеры для трансграничного обращения «зеленых» инструментов, создать единые стандарты верификации и ускорить развитие устойчивого финансирования в ЕАЭС. Это особенно важно для стран, не имеющих собственных национальных таксономий. Принятие единых подходов будет способствовать притоку инвестиций в </w:t>
      </w:r>
      <w:proofErr w:type="spellStart"/>
      <w:r w:rsidRPr="00244E99">
        <w:rPr>
          <w:lang w:val="ru-RU"/>
        </w:rPr>
        <w:t>низкоуглеродные</w:t>
      </w:r>
      <w:proofErr w:type="spellEnd"/>
      <w:r w:rsidRPr="00244E99">
        <w:rPr>
          <w:lang w:val="ru-RU"/>
        </w:rPr>
        <w:t xml:space="preserve"> проекты и достижению климатических целей </w:t>
      </w:r>
      <w:r w:rsidR="00B07638" w:rsidRPr="00244E99">
        <w:rPr>
          <w:lang w:val="ru-RU"/>
        </w:rPr>
        <w:t>ЕАЭС</w:t>
      </w:r>
      <w:r w:rsidRPr="00244E99">
        <w:rPr>
          <w:lang w:val="ru-RU"/>
        </w:rPr>
        <w:t>.</w:t>
      </w:r>
    </w:p>
    <w:p w14:paraId="2DD318E7" w14:textId="2F8BAD3E" w:rsidR="009E6D4B" w:rsidRDefault="00B07638" w:rsidP="002C54B2">
      <w:pPr>
        <w:spacing w:line="360" w:lineRule="auto"/>
        <w:jc w:val="both"/>
        <w:rPr>
          <w:lang w:val="ru-RU"/>
        </w:rPr>
      </w:pPr>
      <w:r w:rsidRPr="00B07638">
        <w:rPr>
          <w:lang w:val="ru-RU"/>
        </w:rPr>
        <w:t xml:space="preserve">С учетом закрепленных в Разделе </w:t>
      </w:r>
      <w:r w:rsidRPr="00B07638">
        <w:t>XVI</w:t>
      </w:r>
      <w:r w:rsidRPr="00B07638">
        <w:rPr>
          <w:lang w:val="ru-RU"/>
        </w:rPr>
        <w:t xml:space="preserve"> Договора </w:t>
      </w:r>
      <w:r>
        <w:rPr>
          <w:lang w:val="ru-RU"/>
        </w:rPr>
        <w:t xml:space="preserve">о </w:t>
      </w:r>
      <w:r w:rsidRPr="00244E99">
        <w:rPr>
          <w:lang w:val="ru-RU"/>
        </w:rPr>
        <w:t>ЕАЭС</w:t>
      </w:r>
      <w:r w:rsidRPr="00B07638">
        <w:rPr>
          <w:lang w:val="ru-RU"/>
        </w:rPr>
        <w:t xml:space="preserve"> целей и задач по регулированию финансовых рынков </w:t>
      </w:r>
      <w:r>
        <w:rPr>
          <w:lang w:val="ru-RU"/>
        </w:rPr>
        <w:t>м</w:t>
      </w:r>
      <w:r w:rsidRPr="00B07638">
        <w:rPr>
          <w:lang w:val="ru-RU"/>
        </w:rPr>
        <w:t xml:space="preserve">одельная таксономия </w:t>
      </w:r>
      <w:r>
        <w:rPr>
          <w:lang w:val="ru-RU"/>
        </w:rPr>
        <w:t>должна стать</w:t>
      </w:r>
      <w:r w:rsidRPr="00B07638">
        <w:rPr>
          <w:lang w:val="ru-RU"/>
        </w:rPr>
        <w:t xml:space="preserve"> инструментом, который позволит обеспечить недискриминационный доступ финансовых инструментов на финансовые рынки государств-членов ЕАЭС и будет являться основой для разработки или актуализации национальных таксономий.</w:t>
      </w:r>
    </w:p>
    <w:p w14:paraId="765ADC0E" w14:textId="1F8332C2" w:rsidR="00B07638" w:rsidRDefault="00B07638" w:rsidP="002C54B2">
      <w:pPr>
        <w:spacing w:line="360" w:lineRule="auto"/>
        <w:jc w:val="both"/>
        <w:rPr>
          <w:lang w:val="ru-RU"/>
        </w:rPr>
      </w:pPr>
      <w:r w:rsidRPr="00B07638">
        <w:rPr>
          <w:lang w:val="ru-RU"/>
        </w:rPr>
        <w:t xml:space="preserve">Рабочей группой высокого уровня по выработке предложений по сближению позиций государств-членов ЕАЭС в рамках климатической повестки </w:t>
      </w:r>
      <w:r>
        <w:rPr>
          <w:lang w:val="ru-RU"/>
        </w:rPr>
        <w:t>рекомендовано одобрить</w:t>
      </w:r>
      <w:r w:rsidRPr="00B07638">
        <w:rPr>
          <w:lang w:val="ru-RU"/>
        </w:rPr>
        <w:t xml:space="preserve"> модельную таксономию «зеленых» проектов ЕАЭС с целью содействия дальнейшему принятию национальных таксономий государств-членов, не имеющих национальны</w:t>
      </w:r>
      <w:r>
        <w:rPr>
          <w:lang w:val="ru-RU"/>
        </w:rPr>
        <w:t xml:space="preserve">х </w:t>
      </w:r>
      <w:r w:rsidRPr="00B07638">
        <w:rPr>
          <w:lang w:val="ru-RU"/>
        </w:rPr>
        <w:t>стандарт</w:t>
      </w:r>
      <w:r>
        <w:rPr>
          <w:lang w:val="ru-RU"/>
        </w:rPr>
        <w:t>ов</w:t>
      </w:r>
      <w:r w:rsidRPr="00B07638">
        <w:rPr>
          <w:lang w:val="ru-RU"/>
        </w:rPr>
        <w:t xml:space="preserve">, нацеленных на </w:t>
      </w:r>
      <w:r w:rsidRPr="00B07638">
        <w:rPr>
          <w:lang w:val="ru-RU"/>
        </w:rPr>
        <w:lastRenderedPageBreak/>
        <w:t xml:space="preserve">развитие </w:t>
      </w:r>
      <w:proofErr w:type="spellStart"/>
      <w:r w:rsidRPr="00B07638">
        <w:rPr>
          <w:lang w:val="ru-RU"/>
        </w:rPr>
        <w:t>низкоуглеродной</w:t>
      </w:r>
      <w:proofErr w:type="spellEnd"/>
      <w:r w:rsidRPr="00B07638">
        <w:rPr>
          <w:lang w:val="ru-RU"/>
        </w:rPr>
        <w:t xml:space="preserve"> экономики стран ЕАЭС, а также для развития движения зеленого капитала на пространстве ЕАЭС и обеспечения устойчивого развития</w:t>
      </w:r>
      <w:r>
        <w:rPr>
          <w:lang w:val="ru-RU"/>
        </w:rPr>
        <w:t>.</w:t>
      </w:r>
    </w:p>
    <w:p w14:paraId="1759B4DB" w14:textId="5548E59A" w:rsidR="00B07638" w:rsidRDefault="00B07638" w:rsidP="002C54B2">
      <w:pPr>
        <w:spacing w:line="360" w:lineRule="auto"/>
        <w:jc w:val="both"/>
        <w:rPr>
          <w:rFonts w:asciiTheme="majorHAnsi" w:eastAsiaTheme="majorEastAsia" w:hAnsiTheme="majorHAnsi" w:cstheme="majorBidi"/>
          <w:color w:val="0F4761" w:themeColor="accent1" w:themeShade="BF"/>
          <w:lang w:val="ru-RU"/>
        </w:rPr>
      </w:pPr>
    </w:p>
    <w:p w14:paraId="313D4DBC" w14:textId="073F02C3" w:rsidR="00B7095A" w:rsidRPr="003F3804" w:rsidRDefault="003F3804" w:rsidP="002C54B2">
      <w:pPr>
        <w:pStyle w:val="2"/>
        <w:spacing w:line="360" w:lineRule="auto"/>
        <w:jc w:val="both"/>
        <w:rPr>
          <w:sz w:val="24"/>
          <w:szCs w:val="24"/>
          <w:lang w:val="ru-RU"/>
        </w:rPr>
      </w:pPr>
      <w:bookmarkStart w:id="11" w:name="_Toc199748214"/>
      <w:r w:rsidRPr="003F3804">
        <w:rPr>
          <w:sz w:val="24"/>
          <w:szCs w:val="24"/>
          <w:lang w:val="ru-RU"/>
        </w:rPr>
        <w:t>3.</w:t>
      </w:r>
      <w:r w:rsidR="009E6D4B">
        <w:rPr>
          <w:sz w:val="24"/>
          <w:szCs w:val="24"/>
          <w:lang w:val="ru-RU"/>
        </w:rPr>
        <w:t>2</w:t>
      </w:r>
      <w:r w:rsidRPr="003F3804">
        <w:rPr>
          <w:sz w:val="24"/>
          <w:szCs w:val="24"/>
          <w:lang w:val="ru-RU"/>
        </w:rPr>
        <w:t xml:space="preserve">. </w:t>
      </w:r>
      <w:r w:rsidR="00B7095A" w:rsidRPr="003F3804">
        <w:rPr>
          <w:sz w:val="24"/>
          <w:szCs w:val="24"/>
          <w:lang w:val="ru-RU"/>
        </w:rPr>
        <w:t>ТРЕБОВАНИЯ ЕВРАЗИЙСКОГО БАНКА РАЗВИТИЯ ПО ВЫПУСКУ «ЗЕЛЕНЫХ» ДОЛГОВЫХ ИНСТРУМЕНТОВ</w:t>
      </w:r>
      <w:bookmarkEnd w:id="11"/>
    </w:p>
    <w:p w14:paraId="36B621D3" w14:textId="7DD9446A" w:rsidR="00761AE4" w:rsidRPr="00761AE4" w:rsidRDefault="00761AE4" w:rsidP="002C54B2">
      <w:pPr>
        <w:spacing w:line="360" w:lineRule="auto"/>
        <w:jc w:val="both"/>
        <w:rPr>
          <w:b/>
          <w:bCs/>
          <w:lang w:val="ru-RU"/>
        </w:rPr>
      </w:pPr>
      <w:r w:rsidRPr="00761AE4">
        <w:rPr>
          <w:b/>
          <w:bCs/>
          <w:lang w:val="ru-RU"/>
        </w:rPr>
        <w:t>Общие положения</w:t>
      </w:r>
    </w:p>
    <w:p w14:paraId="7E48F0E7" w14:textId="0F3671BD" w:rsidR="00B7095A" w:rsidRPr="00B7095A" w:rsidRDefault="00B7095A" w:rsidP="002C54B2">
      <w:pPr>
        <w:spacing w:line="360" w:lineRule="auto"/>
        <w:jc w:val="both"/>
        <w:rPr>
          <w:lang w:val="ru-RU"/>
        </w:rPr>
      </w:pPr>
      <w:r w:rsidRPr="00B7095A">
        <w:rPr>
          <w:lang w:val="ru-RU"/>
        </w:rPr>
        <w:t xml:space="preserve">Политика Евразийского банка развития (ЕАБР) в области выпуска «зелёных» долговых инструментов устанавливает цели и условия эмиссии «зелёных» облигаций, а также определяет принципы привлечения финансирования через иные формы заимствований на рынках капитала. К ним относятся двусторонние и синдицированные кредиты, сделки РЕПО и производные финансовые инструменты, направленные на финансирование проектов в сфере устойчивого развития.  </w:t>
      </w:r>
    </w:p>
    <w:p w14:paraId="1E1DE363" w14:textId="17ED012C" w:rsidR="00B7095A" w:rsidRPr="00B7095A" w:rsidRDefault="00B7095A" w:rsidP="002C54B2">
      <w:pPr>
        <w:spacing w:line="360" w:lineRule="auto"/>
        <w:jc w:val="both"/>
        <w:rPr>
          <w:lang w:val="ru-RU"/>
        </w:rPr>
      </w:pPr>
      <w:r w:rsidRPr="00B7095A">
        <w:rPr>
          <w:lang w:val="ru-RU"/>
        </w:rPr>
        <w:t xml:space="preserve">Политика </w:t>
      </w:r>
      <w:r>
        <w:rPr>
          <w:lang w:val="ru-RU"/>
        </w:rPr>
        <w:t xml:space="preserve">ЕАБР </w:t>
      </w:r>
      <w:r w:rsidRPr="00B7095A">
        <w:rPr>
          <w:lang w:val="ru-RU"/>
        </w:rPr>
        <w:t xml:space="preserve">может быть пересмотрена и дополнена в случае изменений международных и национальных стандартов (включая стандарты стран-участниц ЕАБР) и рекомендаций в области «зелёного», социального и устойчивого финансирования, а также в связи с обновлением внутренних нормативных документов Банка.  </w:t>
      </w:r>
    </w:p>
    <w:p w14:paraId="190D79CF" w14:textId="482B8322" w:rsidR="00B7095A" w:rsidRPr="00B7095A" w:rsidRDefault="00B7095A" w:rsidP="002C54B2">
      <w:pPr>
        <w:spacing w:line="360" w:lineRule="auto"/>
        <w:jc w:val="both"/>
        <w:rPr>
          <w:lang w:val="ru-RU"/>
        </w:rPr>
      </w:pPr>
      <w:r w:rsidRPr="00B7095A">
        <w:rPr>
          <w:lang w:val="ru-RU"/>
        </w:rPr>
        <w:t>Действие Политики распространяется на все выпуски или программы выпуска долговых инструментов (облигаций) любого типа (включая структурные, необеспеченные и иные формы)</w:t>
      </w:r>
      <w:r>
        <w:rPr>
          <w:lang w:val="ru-RU"/>
        </w:rPr>
        <w:t xml:space="preserve">, а также на </w:t>
      </w:r>
      <w:r w:rsidRPr="00B7095A">
        <w:rPr>
          <w:lang w:val="ru-RU"/>
        </w:rPr>
        <w:t xml:space="preserve">двусторонние и синдицированные кредиты, сделки РЕПО и производные инструменты, где Банк выступает прямым эмитентом или заёмщиком, при условии их классификации как «зелёные» в соответствии с </w:t>
      </w:r>
      <w:r>
        <w:rPr>
          <w:lang w:val="ru-RU"/>
        </w:rPr>
        <w:t xml:space="preserve">соответствующей </w:t>
      </w:r>
      <w:r w:rsidRPr="00B7095A">
        <w:rPr>
          <w:lang w:val="ru-RU"/>
        </w:rPr>
        <w:t xml:space="preserve">процедурой.  </w:t>
      </w:r>
    </w:p>
    <w:p w14:paraId="14C59946" w14:textId="7B683366" w:rsidR="00B7095A" w:rsidRDefault="00B7095A" w:rsidP="002C54B2">
      <w:pPr>
        <w:spacing w:line="360" w:lineRule="auto"/>
        <w:jc w:val="both"/>
        <w:rPr>
          <w:lang w:val="ru-RU"/>
        </w:rPr>
      </w:pPr>
      <w:r w:rsidRPr="00B7095A">
        <w:rPr>
          <w:lang w:val="ru-RU"/>
        </w:rPr>
        <w:t>Согласно Стратегии ЕАБР на 2022–2026 годы для целей развития портфеля «зеленых» проектов Банк руководствуется целевыми эффектами устойчивого экологического развития. Банк определяет виды «зеленых» и социальных проектов в соответствии с Принципами</w:t>
      </w:r>
      <w:r>
        <w:rPr>
          <w:lang w:val="ru-RU"/>
        </w:rPr>
        <w:t xml:space="preserve"> </w:t>
      </w:r>
      <w:r w:rsidRPr="00B7095A">
        <w:rPr>
          <w:lang w:val="ru-RU"/>
        </w:rPr>
        <w:t xml:space="preserve">«зеленых» облигаций Международной ассоциации рынков капитала (англ. </w:t>
      </w:r>
      <w:proofErr w:type="spellStart"/>
      <w:r w:rsidRPr="00B7095A">
        <w:rPr>
          <w:lang w:val="ru-RU"/>
        </w:rPr>
        <w:t>International</w:t>
      </w:r>
      <w:proofErr w:type="spellEnd"/>
      <w:r w:rsidRPr="00B7095A">
        <w:rPr>
          <w:lang w:val="ru-RU"/>
        </w:rPr>
        <w:t xml:space="preserve"> </w:t>
      </w:r>
      <w:proofErr w:type="spellStart"/>
      <w:r w:rsidRPr="00B7095A">
        <w:rPr>
          <w:lang w:val="ru-RU"/>
        </w:rPr>
        <w:t>Capital</w:t>
      </w:r>
      <w:proofErr w:type="spellEnd"/>
      <w:r w:rsidRPr="00B7095A">
        <w:rPr>
          <w:lang w:val="ru-RU"/>
        </w:rPr>
        <w:t xml:space="preserve"> </w:t>
      </w:r>
      <w:proofErr w:type="spellStart"/>
      <w:r w:rsidRPr="00B7095A">
        <w:rPr>
          <w:lang w:val="ru-RU"/>
        </w:rPr>
        <w:t>Market</w:t>
      </w:r>
      <w:proofErr w:type="spellEnd"/>
      <w:r w:rsidRPr="00B7095A">
        <w:rPr>
          <w:lang w:val="ru-RU"/>
        </w:rPr>
        <w:t xml:space="preserve"> </w:t>
      </w:r>
      <w:proofErr w:type="spellStart"/>
      <w:r w:rsidRPr="00B7095A">
        <w:rPr>
          <w:lang w:val="ru-RU"/>
        </w:rPr>
        <w:t>Association</w:t>
      </w:r>
      <w:proofErr w:type="spellEnd"/>
      <w:r w:rsidRPr="00B7095A">
        <w:rPr>
          <w:lang w:val="ru-RU"/>
        </w:rPr>
        <w:t>, ICMA),</w:t>
      </w:r>
      <w:r>
        <w:rPr>
          <w:lang w:val="ru-RU"/>
        </w:rPr>
        <w:t xml:space="preserve"> </w:t>
      </w:r>
      <w:r w:rsidRPr="00B7095A">
        <w:rPr>
          <w:lang w:val="ru-RU"/>
        </w:rPr>
        <w:lastRenderedPageBreak/>
        <w:t>а также другими международными и национальными стандартами и таксономиями (применимых</w:t>
      </w:r>
      <w:r>
        <w:rPr>
          <w:lang w:val="ru-RU"/>
        </w:rPr>
        <w:t xml:space="preserve"> </w:t>
      </w:r>
      <w:r w:rsidRPr="00B7095A">
        <w:rPr>
          <w:lang w:val="ru-RU"/>
        </w:rPr>
        <w:t xml:space="preserve">стандартов государств — участников </w:t>
      </w:r>
      <w:r w:rsidR="00783B9F" w:rsidRPr="00B7095A">
        <w:rPr>
          <w:lang w:val="ru-RU"/>
        </w:rPr>
        <w:t>ЕАБР</w:t>
      </w:r>
      <w:r w:rsidRPr="00B7095A">
        <w:rPr>
          <w:lang w:val="ru-RU"/>
        </w:rPr>
        <w:t>)</w:t>
      </w:r>
      <w:r>
        <w:rPr>
          <w:lang w:val="ru-RU"/>
        </w:rPr>
        <w:t>.</w:t>
      </w:r>
    </w:p>
    <w:p w14:paraId="4347C05C" w14:textId="6AF756D4" w:rsidR="00761AE4" w:rsidRPr="00761AE4" w:rsidRDefault="00761AE4" w:rsidP="002C54B2">
      <w:pPr>
        <w:spacing w:line="360" w:lineRule="auto"/>
        <w:jc w:val="both"/>
        <w:rPr>
          <w:lang w:val="ru-RU"/>
        </w:rPr>
      </w:pPr>
      <w:r w:rsidRPr="00761AE4">
        <w:rPr>
          <w:lang w:val="ru-RU"/>
        </w:rPr>
        <w:t>При оценке и отборе проектов, финансирование которых допускается Банком за счет выпуска</w:t>
      </w:r>
      <w:r>
        <w:rPr>
          <w:lang w:val="ru-RU"/>
        </w:rPr>
        <w:t xml:space="preserve"> </w:t>
      </w:r>
      <w:r w:rsidRPr="00761AE4">
        <w:rPr>
          <w:lang w:val="ru-RU"/>
        </w:rPr>
        <w:t xml:space="preserve">«зеленых» облигаций, Банк руководствуется ключевыми </w:t>
      </w:r>
      <w:r>
        <w:rPr>
          <w:lang w:val="ru-RU"/>
        </w:rPr>
        <w:t>внутренними нормативными документами (</w:t>
      </w:r>
      <w:r w:rsidRPr="00761AE4">
        <w:rPr>
          <w:lang w:val="ru-RU"/>
        </w:rPr>
        <w:t>ВНД</w:t>
      </w:r>
      <w:r>
        <w:rPr>
          <w:lang w:val="ru-RU"/>
        </w:rPr>
        <w:t>)</w:t>
      </w:r>
      <w:r w:rsidRPr="00761AE4">
        <w:rPr>
          <w:lang w:val="ru-RU"/>
        </w:rPr>
        <w:t>, в том числе</w:t>
      </w:r>
      <w:r>
        <w:rPr>
          <w:lang w:val="ru-RU"/>
        </w:rPr>
        <w:t xml:space="preserve"> </w:t>
      </w:r>
      <w:r w:rsidRPr="00761AE4">
        <w:rPr>
          <w:lang w:val="ru-RU"/>
        </w:rPr>
        <w:t>Политикой экологической и социальной ответственности, Методикой оценки соответствия проектов</w:t>
      </w:r>
      <w:r>
        <w:rPr>
          <w:lang w:val="ru-RU"/>
        </w:rPr>
        <w:t xml:space="preserve"> </w:t>
      </w:r>
      <w:r w:rsidRPr="00761AE4">
        <w:rPr>
          <w:lang w:val="ru-RU"/>
        </w:rPr>
        <w:t>миссии и стратегическим целям, Регламентом проектного цикла, Методическими рекомендациями</w:t>
      </w:r>
      <w:r>
        <w:rPr>
          <w:lang w:val="ru-RU"/>
        </w:rPr>
        <w:t xml:space="preserve"> </w:t>
      </w:r>
      <w:r w:rsidRPr="00761AE4">
        <w:rPr>
          <w:lang w:val="ru-RU"/>
        </w:rPr>
        <w:t>по категоризации проектов в зависимости от их социального и экологического воздействия,</w:t>
      </w:r>
      <w:r>
        <w:rPr>
          <w:lang w:val="ru-RU"/>
        </w:rPr>
        <w:t xml:space="preserve"> </w:t>
      </w:r>
      <w:r w:rsidRPr="00761AE4">
        <w:rPr>
          <w:lang w:val="ru-RU"/>
        </w:rPr>
        <w:t>Методическими рекомендациями по мониторингу социально-экономических и экологических</w:t>
      </w:r>
      <w:r>
        <w:rPr>
          <w:lang w:val="ru-RU"/>
        </w:rPr>
        <w:t xml:space="preserve"> </w:t>
      </w:r>
      <w:r w:rsidRPr="00761AE4">
        <w:rPr>
          <w:lang w:val="ru-RU"/>
        </w:rPr>
        <w:t>эффектов инвестиционных проектов и иными ВНД Банка.</w:t>
      </w:r>
    </w:p>
    <w:p w14:paraId="62A84A96" w14:textId="243F611D" w:rsidR="00761AE4" w:rsidRPr="00761AE4" w:rsidRDefault="00761AE4" w:rsidP="002C54B2">
      <w:pPr>
        <w:spacing w:line="360" w:lineRule="auto"/>
        <w:jc w:val="both"/>
        <w:rPr>
          <w:lang w:val="ru-RU"/>
        </w:rPr>
      </w:pPr>
      <w:r>
        <w:rPr>
          <w:lang w:val="ru-RU"/>
        </w:rPr>
        <w:t>В</w:t>
      </w:r>
      <w:r w:rsidRPr="00761AE4">
        <w:rPr>
          <w:lang w:val="ru-RU"/>
        </w:rPr>
        <w:t>се</w:t>
      </w:r>
      <w:r>
        <w:rPr>
          <w:lang w:val="ru-RU"/>
        </w:rPr>
        <w:t xml:space="preserve"> </w:t>
      </w:r>
      <w:r w:rsidRPr="00761AE4">
        <w:rPr>
          <w:lang w:val="ru-RU"/>
        </w:rPr>
        <w:t>проекты, финансируемые Банком, проходят несколько стадий оценки и отбора согласно Регламенту</w:t>
      </w:r>
      <w:r>
        <w:rPr>
          <w:lang w:val="ru-RU"/>
        </w:rPr>
        <w:t xml:space="preserve"> </w:t>
      </w:r>
      <w:r w:rsidRPr="00761AE4">
        <w:rPr>
          <w:lang w:val="ru-RU"/>
        </w:rPr>
        <w:t>проектного цикла и Методике оценки соответствия проектов миссии и стратегическим целям</w:t>
      </w:r>
      <w:r>
        <w:rPr>
          <w:lang w:val="ru-RU"/>
        </w:rPr>
        <w:t xml:space="preserve"> </w:t>
      </w:r>
      <w:r w:rsidRPr="00761AE4">
        <w:rPr>
          <w:lang w:val="ru-RU"/>
        </w:rPr>
        <w:t>Банка, которая в том числе включает ряд показателей экологического и социального воздействия,</w:t>
      </w:r>
      <w:r>
        <w:rPr>
          <w:lang w:val="ru-RU"/>
        </w:rPr>
        <w:t xml:space="preserve"> </w:t>
      </w:r>
      <w:r w:rsidRPr="00761AE4">
        <w:rPr>
          <w:lang w:val="ru-RU"/>
        </w:rPr>
        <w:t>которые в обязательном порядке учитываются при вынесении итогового решения о предоставлении</w:t>
      </w:r>
      <w:r>
        <w:rPr>
          <w:lang w:val="ru-RU"/>
        </w:rPr>
        <w:t xml:space="preserve"> </w:t>
      </w:r>
      <w:r w:rsidRPr="00761AE4">
        <w:rPr>
          <w:lang w:val="ru-RU"/>
        </w:rPr>
        <w:t>финансирования. Кроме того, Банк руководствуется Политикой экологической и социальной</w:t>
      </w:r>
      <w:r>
        <w:rPr>
          <w:lang w:val="ru-RU"/>
        </w:rPr>
        <w:t xml:space="preserve"> </w:t>
      </w:r>
      <w:r w:rsidRPr="00761AE4">
        <w:rPr>
          <w:lang w:val="ru-RU"/>
        </w:rPr>
        <w:t>ответственности, в рамках которой предусмотрен отказ от финансирования социально опасной</w:t>
      </w:r>
      <w:r>
        <w:rPr>
          <w:lang w:val="ru-RU"/>
        </w:rPr>
        <w:t xml:space="preserve"> </w:t>
      </w:r>
      <w:r w:rsidRPr="00761AE4">
        <w:rPr>
          <w:lang w:val="ru-RU"/>
        </w:rPr>
        <w:t>деятельности и проектов, оказывающих негативное и необратимое воздействие на окружающую среду.</w:t>
      </w:r>
    </w:p>
    <w:p w14:paraId="76F0AFB3" w14:textId="12B6DE1F" w:rsidR="00761AE4" w:rsidRDefault="00761AE4" w:rsidP="002C54B2">
      <w:pPr>
        <w:spacing w:line="360" w:lineRule="auto"/>
        <w:jc w:val="both"/>
        <w:rPr>
          <w:lang w:val="ru-RU"/>
        </w:rPr>
      </w:pPr>
      <w:r w:rsidRPr="00761AE4">
        <w:rPr>
          <w:lang w:val="ru-RU"/>
        </w:rPr>
        <w:t>Для проектов, которые могут быть допущены к финансированию посредством выпуска «зеленых»</w:t>
      </w:r>
      <w:r>
        <w:rPr>
          <w:lang w:val="ru-RU"/>
        </w:rPr>
        <w:t xml:space="preserve"> </w:t>
      </w:r>
      <w:r w:rsidRPr="00761AE4">
        <w:rPr>
          <w:lang w:val="ru-RU"/>
        </w:rPr>
        <w:t>облигаций, предусмотрена дополнительная процедура оценки и отбора.</w:t>
      </w:r>
      <w:r>
        <w:rPr>
          <w:lang w:val="ru-RU"/>
        </w:rPr>
        <w:t xml:space="preserve"> </w:t>
      </w:r>
      <w:r w:rsidRPr="00761AE4">
        <w:rPr>
          <w:lang w:val="ru-RU"/>
        </w:rPr>
        <w:t>Итоговое решение о финансировании и (или) рефинансировании каждого проекта посредством</w:t>
      </w:r>
      <w:r>
        <w:rPr>
          <w:lang w:val="ru-RU"/>
        </w:rPr>
        <w:t xml:space="preserve"> </w:t>
      </w:r>
      <w:r w:rsidRPr="00761AE4">
        <w:rPr>
          <w:lang w:val="ru-RU"/>
        </w:rPr>
        <w:t>выпуска «зеленых» облигаций Банка принимает уполномоченный коллегиальный</w:t>
      </w:r>
      <w:r>
        <w:rPr>
          <w:lang w:val="ru-RU"/>
        </w:rPr>
        <w:t xml:space="preserve"> </w:t>
      </w:r>
      <w:r w:rsidRPr="00761AE4">
        <w:rPr>
          <w:lang w:val="ru-RU"/>
        </w:rPr>
        <w:t>орган.</w:t>
      </w:r>
    </w:p>
    <w:p w14:paraId="01F400E1" w14:textId="0E07035C" w:rsidR="00B7095A" w:rsidRPr="00783B9F" w:rsidRDefault="00B7095A" w:rsidP="002C54B2">
      <w:pPr>
        <w:spacing w:line="360" w:lineRule="auto"/>
        <w:jc w:val="both"/>
        <w:rPr>
          <w:b/>
          <w:bCs/>
          <w:lang w:val="ru-RU"/>
        </w:rPr>
      </w:pPr>
      <w:r w:rsidRPr="00783B9F">
        <w:rPr>
          <w:b/>
          <w:bCs/>
          <w:lang w:val="ru-RU"/>
        </w:rPr>
        <w:t xml:space="preserve">Определение соответствия проекта критериям «зеленых» облигаций  </w:t>
      </w:r>
    </w:p>
    <w:p w14:paraId="08D25F87" w14:textId="2005EC24" w:rsidR="00B7095A" w:rsidRPr="00B7095A" w:rsidRDefault="00B7095A" w:rsidP="002C54B2">
      <w:pPr>
        <w:spacing w:line="360" w:lineRule="auto"/>
        <w:jc w:val="both"/>
        <w:rPr>
          <w:lang w:val="ru-RU"/>
        </w:rPr>
      </w:pPr>
      <w:r w:rsidRPr="00B7095A">
        <w:rPr>
          <w:lang w:val="ru-RU"/>
        </w:rPr>
        <w:t xml:space="preserve">Прежде чем подавать заявку на финансирование, необходимо убедиться, что проект соответствует критериям, установленным Политикой ЕАБР и Принципами «зеленых» облигаций (ICMA).  </w:t>
      </w:r>
    </w:p>
    <w:p w14:paraId="7A52E61B" w14:textId="4CF735BF" w:rsidR="00B7095A" w:rsidRPr="00B7095A" w:rsidRDefault="00B7095A" w:rsidP="002C54B2">
      <w:pPr>
        <w:spacing w:line="360" w:lineRule="auto"/>
        <w:jc w:val="both"/>
        <w:rPr>
          <w:lang w:val="ru-RU"/>
        </w:rPr>
      </w:pPr>
      <w:r w:rsidRPr="00B7095A">
        <w:rPr>
          <w:lang w:val="ru-RU"/>
        </w:rPr>
        <w:t>Ключевые требования</w:t>
      </w:r>
      <w:r w:rsidR="00A50C32">
        <w:rPr>
          <w:lang w:val="ru-RU"/>
        </w:rPr>
        <w:t xml:space="preserve"> ЕАБР к проектам, относящимся к энергоэффективности и энергосбережению</w:t>
      </w:r>
      <w:r w:rsidRPr="00B7095A">
        <w:rPr>
          <w:lang w:val="ru-RU"/>
        </w:rPr>
        <w:t xml:space="preserve">:  </w:t>
      </w:r>
    </w:p>
    <w:p w14:paraId="5952885B" w14:textId="77777777" w:rsidR="00B7095A" w:rsidRPr="00B7095A" w:rsidRDefault="00B7095A" w:rsidP="002C54B2">
      <w:pPr>
        <w:spacing w:line="360" w:lineRule="auto"/>
        <w:jc w:val="both"/>
        <w:rPr>
          <w:lang w:val="ru-RU"/>
        </w:rPr>
      </w:pPr>
      <w:r w:rsidRPr="00B7095A">
        <w:rPr>
          <w:lang w:val="ru-RU"/>
        </w:rPr>
        <w:lastRenderedPageBreak/>
        <w:t xml:space="preserve">- Проект должен относиться к одной из категорий:  </w:t>
      </w:r>
    </w:p>
    <w:p w14:paraId="5FC48FC7" w14:textId="77777777" w:rsidR="00A50C32" w:rsidRPr="00B7095A" w:rsidRDefault="00A50C32" w:rsidP="002C54B2">
      <w:pPr>
        <w:spacing w:line="360" w:lineRule="auto"/>
        <w:jc w:val="both"/>
        <w:rPr>
          <w:lang w:val="ru-RU"/>
        </w:rPr>
      </w:pPr>
      <w:r w:rsidRPr="00B7095A">
        <w:rPr>
          <w:lang w:val="ru-RU"/>
        </w:rPr>
        <w:t xml:space="preserve">  - Повышение энергоэффективности – модернизация зданий, промышленных предприятий, систем теплоснабжения, уличного освещения.  </w:t>
      </w:r>
    </w:p>
    <w:p w14:paraId="4E45E93E" w14:textId="23D03540" w:rsidR="00B7095A" w:rsidRPr="00B7095A" w:rsidRDefault="00B7095A" w:rsidP="002C54B2">
      <w:pPr>
        <w:spacing w:line="360" w:lineRule="auto"/>
        <w:jc w:val="both"/>
        <w:rPr>
          <w:lang w:val="ru-RU"/>
        </w:rPr>
      </w:pPr>
      <w:r w:rsidRPr="00B7095A">
        <w:rPr>
          <w:lang w:val="ru-RU"/>
        </w:rPr>
        <w:t xml:space="preserve">  - Возобновляемые источники энергии (ВИЭ) – строительство, модернизация, обслуживание объектов ВИЭ (солнечные, ветровые, малые ГЭС до 25 МВт).  </w:t>
      </w:r>
    </w:p>
    <w:p w14:paraId="7BBAEE87" w14:textId="047E0E5E" w:rsidR="00172845" w:rsidRPr="00172845" w:rsidRDefault="00B7095A" w:rsidP="002C54B2">
      <w:pPr>
        <w:spacing w:line="360" w:lineRule="auto"/>
        <w:jc w:val="both"/>
        <w:rPr>
          <w:lang w:val="ru-RU"/>
        </w:rPr>
      </w:pPr>
      <w:r w:rsidRPr="00B7095A">
        <w:rPr>
          <w:lang w:val="ru-RU"/>
        </w:rPr>
        <w:t>- Проект должен соответствовать Целям устойчивого развития ООН (</w:t>
      </w:r>
      <w:r w:rsidR="00172845" w:rsidRPr="00172845">
        <w:rPr>
          <w:lang w:val="ru-RU"/>
        </w:rPr>
        <w:t xml:space="preserve">ЦУР 7. Недорогостоящая и чистая энергия, ЦУР 9. Индустриализация, инновации и инфраструктура, ЦУР 11. </w:t>
      </w:r>
      <w:r w:rsidR="00761AE4" w:rsidRPr="00761AE4">
        <w:rPr>
          <w:lang w:val="ru-RU"/>
        </w:rPr>
        <w:t>Обеспечение открытости,</w:t>
      </w:r>
      <w:r w:rsidR="00761AE4">
        <w:rPr>
          <w:lang w:val="ru-RU"/>
        </w:rPr>
        <w:t xml:space="preserve"> </w:t>
      </w:r>
      <w:r w:rsidR="00761AE4" w:rsidRPr="00761AE4">
        <w:rPr>
          <w:lang w:val="ru-RU"/>
        </w:rPr>
        <w:t>безопасности,</w:t>
      </w:r>
      <w:r w:rsidR="00761AE4">
        <w:rPr>
          <w:lang w:val="ru-RU"/>
        </w:rPr>
        <w:t xml:space="preserve"> </w:t>
      </w:r>
      <w:r w:rsidR="00761AE4" w:rsidRPr="00761AE4">
        <w:rPr>
          <w:lang w:val="ru-RU"/>
        </w:rPr>
        <w:t>жизнестойкости</w:t>
      </w:r>
      <w:r w:rsidR="00761AE4">
        <w:rPr>
          <w:lang w:val="ru-RU"/>
        </w:rPr>
        <w:t xml:space="preserve"> </w:t>
      </w:r>
      <w:r w:rsidR="00761AE4" w:rsidRPr="00761AE4">
        <w:rPr>
          <w:lang w:val="ru-RU"/>
        </w:rPr>
        <w:t>и экологической</w:t>
      </w:r>
      <w:r w:rsidR="00761AE4">
        <w:rPr>
          <w:lang w:val="ru-RU"/>
        </w:rPr>
        <w:t xml:space="preserve"> </w:t>
      </w:r>
      <w:r w:rsidR="00761AE4" w:rsidRPr="00761AE4">
        <w:rPr>
          <w:lang w:val="ru-RU"/>
        </w:rPr>
        <w:t>устойчивости городов и</w:t>
      </w:r>
      <w:r w:rsidR="00761AE4">
        <w:rPr>
          <w:lang w:val="ru-RU"/>
        </w:rPr>
        <w:t xml:space="preserve"> </w:t>
      </w:r>
      <w:r w:rsidR="00761AE4" w:rsidRPr="00761AE4">
        <w:rPr>
          <w:lang w:val="ru-RU"/>
        </w:rPr>
        <w:t>населенных пунктов</w:t>
      </w:r>
      <w:r w:rsidR="00172845" w:rsidRPr="00172845">
        <w:rPr>
          <w:lang w:val="ru-RU"/>
        </w:rPr>
        <w:t>, ЦУР 13. Борьба с изменением климата).</w:t>
      </w:r>
    </w:p>
    <w:p w14:paraId="46B063BE" w14:textId="1D7B0BE0" w:rsidR="00B7095A" w:rsidRPr="00B7095A" w:rsidRDefault="00B7095A" w:rsidP="002C54B2">
      <w:pPr>
        <w:spacing w:line="360" w:lineRule="auto"/>
        <w:jc w:val="both"/>
        <w:rPr>
          <w:lang w:val="ru-RU"/>
        </w:rPr>
      </w:pPr>
      <w:r w:rsidRPr="00B7095A">
        <w:rPr>
          <w:lang w:val="ru-RU"/>
        </w:rPr>
        <w:t xml:space="preserve">- Не допускаются проекты, связанные с ископаемым топливом или крупными ГЭС (более 25 МВт).  </w:t>
      </w:r>
    </w:p>
    <w:p w14:paraId="599F56AB" w14:textId="65CAA3B0" w:rsidR="00A50C32" w:rsidRPr="00A50C32" w:rsidRDefault="00A50C32" w:rsidP="002C54B2">
      <w:pPr>
        <w:spacing w:line="360" w:lineRule="auto"/>
        <w:jc w:val="both"/>
        <w:rPr>
          <w:lang w:val="ru-RU"/>
        </w:rPr>
      </w:pPr>
      <w:r w:rsidRPr="00A50C32">
        <w:rPr>
          <w:u w:val="single"/>
          <w:lang w:val="ru-RU"/>
        </w:rPr>
        <w:t>Проекты в сфере повышения энергоэффективности.</w:t>
      </w:r>
      <w:r>
        <w:rPr>
          <w:lang w:val="ru-RU"/>
        </w:rPr>
        <w:t xml:space="preserve"> </w:t>
      </w:r>
      <w:r w:rsidRPr="00A50C32">
        <w:rPr>
          <w:lang w:val="ru-RU"/>
        </w:rPr>
        <w:t>Финансирование и (или) рефинансирование проектов, способствующих повышению</w:t>
      </w:r>
      <w:r>
        <w:rPr>
          <w:lang w:val="ru-RU"/>
        </w:rPr>
        <w:t xml:space="preserve"> </w:t>
      </w:r>
      <w:r w:rsidRPr="00A50C32">
        <w:rPr>
          <w:lang w:val="ru-RU"/>
        </w:rPr>
        <w:t>энергоэффективности зданий, сооружений и производств, приводящих к снижению удельных</w:t>
      </w:r>
      <w:r>
        <w:rPr>
          <w:lang w:val="ru-RU"/>
        </w:rPr>
        <w:t xml:space="preserve"> </w:t>
      </w:r>
      <w:r w:rsidRPr="00A50C32">
        <w:rPr>
          <w:lang w:val="ru-RU"/>
        </w:rPr>
        <w:t>энергозатрат на единицу производимой продукции по сравнению с текущими значениями и (или)</w:t>
      </w:r>
      <w:r>
        <w:rPr>
          <w:lang w:val="ru-RU"/>
        </w:rPr>
        <w:t xml:space="preserve"> </w:t>
      </w:r>
      <w:r w:rsidRPr="00A50C32">
        <w:rPr>
          <w:lang w:val="ru-RU"/>
        </w:rPr>
        <w:t>валовых энергозатрат по действующему производству или сооружению.</w:t>
      </w:r>
      <w:r>
        <w:rPr>
          <w:lang w:val="ru-RU"/>
        </w:rPr>
        <w:t xml:space="preserve"> </w:t>
      </w:r>
      <w:r w:rsidRPr="00A50C32">
        <w:rPr>
          <w:lang w:val="ru-RU"/>
        </w:rPr>
        <w:t>К данной категории могут относиться следующие типы проектов:</w:t>
      </w:r>
    </w:p>
    <w:p w14:paraId="58F68752" w14:textId="236E3FCF" w:rsidR="00A50C32" w:rsidRPr="00A50C32" w:rsidRDefault="00A50C32" w:rsidP="002C54B2">
      <w:pPr>
        <w:spacing w:line="360" w:lineRule="auto"/>
        <w:jc w:val="both"/>
        <w:rPr>
          <w:lang w:val="ru-RU"/>
        </w:rPr>
      </w:pPr>
      <w:r w:rsidRPr="00A50C32">
        <w:rPr>
          <w:lang w:val="ru-RU"/>
        </w:rPr>
        <w:t>• проекты, направленные на инвестиции в технологии, оборудование и системы, позволяющие</w:t>
      </w:r>
      <w:r>
        <w:rPr>
          <w:lang w:val="ru-RU"/>
        </w:rPr>
        <w:t xml:space="preserve"> </w:t>
      </w:r>
      <w:r w:rsidRPr="00A50C32">
        <w:rPr>
          <w:lang w:val="ru-RU"/>
        </w:rPr>
        <w:t>обеспечить измеряемые улучшения в использовании электроэнергии;</w:t>
      </w:r>
    </w:p>
    <w:p w14:paraId="46E997AA" w14:textId="318749B3" w:rsidR="00A50C32" w:rsidRPr="00A50C32" w:rsidRDefault="00A50C32" w:rsidP="002C54B2">
      <w:pPr>
        <w:spacing w:line="360" w:lineRule="auto"/>
        <w:jc w:val="both"/>
        <w:rPr>
          <w:lang w:val="ru-RU"/>
        </w:rPr>
      </w:pPr>
      <w:r w:rsidRPr="00A50C32">
        <w:rPr>
          <w:lang w:val="ru-RU"/>
        </w:rPr>
        <w:t>• проекты модернизации городского освещения, позволяющие значительно сократить совокупное</w:t>
      </w:r>
      <w:r>
        <w:rPr>
          <w:lang w:val="ru-RU"/>
        </w:rPr>
        <w:t xml:space="preserve"> </w:t>
      </w:r>
      <w:r w:rsidRPr="00A50C32">
        <w:rPr>
          <w:lang w:val="ru-RU"/>
        </w:rPr>
        <w:t>потребление электроэнергии;</w:t>
      </w:r>
    </w:p>
    <w:p w14:paraId="719268C8" w14:textId="12D33626" w:rsidR="00A50C32" w:rsidRPr="00A50C32" w:rsidRDefault="00A50C32" w:rsidP="002C54B2">
      <w:pPr>
        <w:spacing w:line="360" w:lineRule="auto"/>
        <w:jc w:val="both"/>
        <w:rPr>
          <w:lang w:val="ru-RU"/>
        </w:rPr>
      </w:pPr>
      <w:r w:rsidRPr="00A50C32">
        <w:rPr>
          <w:lang w:val="ru-RU"/>
        </w:rPr>
        <w:t>• проекты модернизации систем теплоснабжения и систем распределения электроэнергии,</w:t>
      </w:r>
      <w:r>
        <w:rPr>
          <w:lang w:val="ru-RU"/>
        </w:rPr>
        <w:t xml:space="preserve"> </w:t>
      </w:r>
      <w:r w:rsidRPr="00A50C32">
        <w:rPr>
          <w:lang w:val="ru-RU"/>
        </w:rPr>
        <w:t>позволяющие снизить теплопотери и потери электроэнергии при производстве и передаче;</w:t>
      </w:r>
    </w:p>
    <w:p w14:paraId="737C18CD" w14:textId="0A77714D" w:rsidR="00A50C32" w:rsidRDefault="00A50C32" w:rsidP="002C54B2">
      <w:pPr>
        <w:spacing w:line="360" w:lineRule="auto"/>
        <w:jc w:val="both"/>
        <w:rPr>
          <w:lang w:val="ru-RU"/>
        </w:rPr>
      </w:pPr>
      <w:r w:rsidRPr="00A50C32">
        <w:rPr>
          <w:lang w:val="ru-RU"/>
        </w:rPr>
        <w:t>• проекты, связанные с переходом действующих производств на более энергоэффективные</w:t>
      </w:r>
      <w:r>
        <w:rPr>
          <w:lang w:val="ru-RU"/>
        </w:rPr>
        <w:t xml:space="preserve"> </w:t>
      </w:r>
      <w:r w:rsidRPr="00A50C32">
        <w:rPr>
          <w:lang w:val="ru-RU"/>
        </w:rPr>
        <w:t>технологии и оборудование, а также внедрение систем энергосбережения и энергетического</w:t>
      </w:r>
      <w:r>
        <w:rPr>
          <w:lang w:val="ru-RU"/>
        </w:rPr>
        <w:t xml:space="preserve"> </w:t>
      </w:r>
      <w:r w:rsidRPr="00A50C32">
        <w:rPr>
          <w:lang w:val="ru-RU"/>
        </w:rPr>
        <w:t>менеджмента.</w:t>
      </w:r>
    </w:p>
    <w:p w14:paraId="4C17D422" w14:textId="59975942" w:rsidR="00A50C32" w:rsidRPr="00A50C32" w:rsidRDefault="00A50C32" w:rsidP="002C54B2">
      <w:pPr>
        <w:spacing w:line="360" w:lineRule="auto"/>
        <w:jc w:val="both"/>
        <w:rPr>
          <w:lang w:val="ru-RU"/>
        </w:rPr>
      </w:pPr>
      <w:r w:rsidRPr="00A50C32">
        <w:rPr>
          <w:u w:val="single"/>
          <w:lang w:val="ru-RU"/>
        </w:rPr>
        <w:lastRenderedPageBreak/>
        <w:t>Проекты в сфере возобновляемых источников энергии.</w:t>
      </w:r>
      <w:r w:rsidRPr="00A50C32">
        <w:rPr>
          <w:lang w:val="ru-RU"/>
        </w:rPr>
        <w:t xml:space="preserve"> Финансирование и (или) рефинансирование проектов по строительству новых и расширению</w:t>
      </w:r>
      <w:r>
        <w:rPr>
          <w:lang w:val="ru-RU"/>
        </w:rPr>
        <w:t xml:space="preserve"> </w:t>
      </w:r>
      <w:r w:rsidRPr="00A50C32">
        <w:rPr>
          <w:lang w:val="ru-RU"/>
        </w:rPr>
        <w:t>действующих электростанций, работающих от ВИЭ; покупки и производства оборудования для</w:t>
      </w:r>
      <w:r>
        <w:rPr>
          <w:lang w:val="ru-RU"/>
        </w:rPr>
        <w:t xml:space="preserve"> </w:t>
      </w:r>
      <w:r w:rsidRPr="00A50C32">
        <w:rPr>
          <w:lang w:val="ru-RU"/>
        </w:rPr>
        <w:t>данных электростанций; затрат на подключение к объектам ВИЭ-генерации; затрат на ремонт</w:t>
      </w:r>
      <w:r>
        <w:rPr>
          <w:lang w:val="ru-RU"/>
        </w:rPr>
        <w:t xml:space="preserve"> </w:t>
      </w:r>
      <w:r w:rsidRPr="00A50C32">
        <w:rPr>
          <w:lang w:val="ru-RU"/>
        </w:rPr>
        <w:t>и обслуживание объектов ВИЭ-генерации. К данной категории, в частности, могут относиться</w:t>
      </w:r>
      <w:r>
        <w:rPr>
          <w:lang w:val="ru-RU"/>
        </w:rPr>
        <w:t xml:space="preserve"> </w:t>
      </w:r>
      <w:r w:rsidRPr="00A50C32">
        <w:rPr>
          <w:lang w:val="ru-RU"/>
        </w:rPr>
        <w:t>следующие типы проектов:</w:t>
      </w:r>
    </w:p>
    <w:p w14:paraId="1BD891D2" w14:textId="4F9EDB3C" w:rsidR="00A50C32" w:rsidRPr="00A50C32" w:rsidRDefault="00A50C32" w:rsidP="002C54B2">
      <w:pPr>
        <w:spacing w:line="360" w:lineRule="auto"/>
        <w:jc w:val="both"/>
        <w:rPr>
          <w:lang w:val="ru-RU"/>
        </w:rPr>
      </w:pPr>
      <w:r w:rsidRPr="00A50C32">
        <w:rPr>
          <w:lang w:val="ru-RU"/>
        </w:rPr>
        <w:t>• проекты по производству электроэнергии из возобновляемых источников, а именно —</w:t>
      </w:r>
      <w:r>
        <w:rPr>
          <w:lang w:val="ru-RU"/>
        </w:rPr>
        <w:t xml:space="preserve"> </w:t>
      </w:r>
      <w:r w:rsidRPr="00A50C32">
        <w:rPr>
          <w:lang w:val="ru-RU"/>
        </w:rPr>
        <w:t>солнечной энергии, ветровой, энергии воды (</w:t>
      </w:r>
      <w:proofErr w:type="spellStart"/>
      <w:r w:rsidRPr="00A50C32">
        <w:rPr>
          <w:lang w:val="ru-RU"/>
        </w:rPr>
        <w:t>бесплотинные</w:t>
      </w:r>
      <w:proofErr w:type="spellEnd"/>
      <w:r w:rsidRPr="00A50C32">
        <w:rPr>
          <w:lang w:val="ru-RU"/>
        </w:rPr>
        <w:t xml:space="preserve"> ГЭС мощностью до 25 МВт);</w:t>
      </w:r>
    </w:p>
    <w:p w14:paraId="7B074255" w14:textId="5EE05E79" w:rsidR="00A50C32" w:rsidRPr="00A50C32" w:rsidRDefault="00A50C32" w:rsidP="002C54B2">
      <w:pPr>
        <w:spacing w:line="360" w:lineRule="auto"/>
        <w:jc w:val="both"/>
        <w:rPr>
          <w:lang w:val="ru-RU"/>
        </w:rPr>
      </w:pPr>
      <w:r w:rsidRPr="00A50C32">
        <w:rPr>
          <w:lang w:val="ru-RU"/>
        </w:rPr>
        <w:t>• сети и установки для хранения тепла или электроэнергии с питанием от объектов генерации</w:t>
      </w:r>
      <w:r>
        <w:rPr>
          <w:lang w:val="ru-RU"/>
        </w:rPr>
        <w:t xml:space="preserve"> </w:t>
      </w:r>
      <w:r w:rsidRPr="00A50C32">
        <w:rPr>
          <w:lang w:val="ru-RU"/>
        </w:rPr>
        <w:t>на ВИЭ;</w:t>
      </w:r>
    </w:p>
    <w:p w14:paraId="6088B62E" w14:textId="77777777" w:rsidR="00A50C32" w:rsidRPr="00A50C32" w:rsidRDefault="00A50C32" w:rsidP="002C54B2">
      <w:pPr>
        <w:spacing w:line="360" w:lineRule="auto"/>
        <w:jc w:val="both"/>
        <w:rPr>
          <w:lang w:val="ru-RU"/>
        </w:rPr>
      </w:pPr>
      <w:r w:rsidRPr="00A50C32">
        <w:rPr>
          <w:lang w:val="ru-RU"/>
        </w:rPr>
        <w:t>• покупка и производство оборудования для объектов генерации на ВИЭ.</w:t>
      </w:r>
    </w:p>
    <w:p w14:paraId="26F00C15" w14:textId="7D1DCCFE" w:rsidR="00A50C32" w:rsidRDefault="00A50C32" w:rsidP="002C54B2">
      <w:pPr>
        <w:spacing w:line="360" w:lineRule="auto"/>
        <w:jc w:val="both"/>
        <w:rPr>
          <w:lang w:val="ru-RU"/>
        </w:rPr>
      </w:pPr>
      <w:r w:rsidRPr="00A50C32">
        <w:rPr>
          <w:lang w:val="ru-RU"/>
        </w:rPr>
        <w:t xml:space="preserve">В качестве проектов в сфере ВИЭ Банком не рассматриваются </w:t>
      </w:r>
      <w:r>
        <w:rPr>
          <w:lang w:val="ru-RU"/>
        </w:rPr>
        <w:t>никакие</w:t>
      </w:r>
      <w:r w:rsidRPr="00A50C32">
        <w:rPr>
          <w:lang w:val="ru-RU"/>
        </w:rPr>
        <w:t xml:space="preserve"> проекты, связанные</w:t>
      </w:r>
      <w:r>
        <w:rPr>
          <w:lang w:val="ru-RU"/>
        </w:rPr>
        <w:t xml:space="preserve"> </w:t>
      </w:r>
      <w:r w:rsidRPr="00A50C32">
        <w:rPr>
          <w:lang w:val="ru-RU"/>
        </w:rPr>
        <w:t>с использованием ископаемого топлива как источника энергии, а также плотинные</w:t>
      </w:r>
      <w:r>
        <w:rPr>
          <w:lang w:val="ru-RU"/>
        </w:rPr>
        <w:t xml:space="preserve"> </w:t>
      </w:r>
      <w:r w:rsidRPr="00A50C32">
        <w:rPr>
          <w:lang w:val="ru-RU"/>
        </w:rPr>
        <w:t xml:space="preserve">гидроэлектростанции мощностью свыше 25 МВт (для объектов </w:t>
      </w:r>
      <w:proofErr w:type="spellStart"/>
      <w:r w:rsidRPr="00A50C32">
        <w:rPr>
          <w:lang w:val="ru-RU"/>
        </w:rPr>
        <w:t>гидрогенерации</w:t>
      </w:r>
      <w:proofErr w:type="spellEnd"/>
      <w:r w:rsidRPr="00A50C32">
        <w:rPr>
          <w:lang w:val="ru-RU"/>
        </w:rPr>
        <w:t>).</w:t>
      </w:r>
    </w:p>
    <w:p w14:paraId="7C5B7279" w14:textId="604418A3" w:rsidR="00761AE4" w:rsidRDefault="00F817F1" w:rsidP="002C54B2">
      <w:pPr>
        <w:spacing w:line="360" w:lineRule="auto"/>
        <w:jc w:val="both"/>
        <w:rPr>
          <w:lang w:val="ru-RU"/>
        </w:rPr>
      </w:pPr>
      <w:r>
        <w:rPr>
          <w:lang w:val="ru-RU"/>
        </w:rPr>
        <w:t>Для проектов в области энергоэффективности ЕАБР используются следующие критерии:</w:t>
      </w:r>
    </w:p>
    <w:p w14:paraId="4D3EE4A9" w14:textId="10A037A8" w:rsidR="00F817F1" w:rsidRPr="00F817F1" w:rsidRDefault="00F817F1" w:rsidP="002C54B2">
      <w:pPr>
        <w:spacing w:line="360" w:lineRule="auto"/>
        <w:ind w:left="708"/>
        <w:jc w:val="both"/>
        <w:rPr>
          <w:lang w:val="ru-RU"/>
        </w:rPr>
      </w:pPr>
      <w:r w:rsidRPr="00F817F1">
        <w:rPr>
          <w:lang w:val="ru-RU"/>
        </w:rPr>
        <w:t>• Ежегодная экономия электроэнергии</w:t>
      </w:r>
      <w:r>
        <w:rPr>
          <w:lang w:val="ru-RU"/>
        </w:rPr>
        <w:t xml:space="preserve"> </w:t>
      </w:r>
      <w:r w:rsidRPr="00F817F1">
        <w:rPr>
          <w:lang w:val="ru-RU"/>
        </w:rPr>
        <w:t>в МВт</w:t>
      </w:r>
      <w:r>
        <w:rPr>
          <w:lang w:val="ru-RU"/>
        </w:rPr>
        <w:t>-</w:t>
      </w:r>
      <w:r w:rsidRPr="00F817F1">
        <w:rPr>
          <w:lang w:val="ru-RU"/>
        </w:rPr>
        <w:t>ч (электричество) и (или) ГДж</w:t>
      </w:r>
      <w:r>
        <w:rPr>
          <w:lang w:val="ru-RU"/>
        </w:rPr>
        <w:t xml:space="preserve"> </w:t>
      </w:r>
      <w:r w:rsidRPr="00F817F1">
        <w:rPr>
          <w:lang w:val="ru-RU"/>
        </w:rPr>
        <w:t>(экономия другой энергии)</w:t>
      </w:r>
      <w:r>
        <w:rPr>
          <w:lang w:val="ru-RU"/>
        </w:rPr>
        <w:t xml:space="preserve"> в </w:t>
      </w:r>
      <w:r w:rsidRPr="00F817F1">
        <w:rPr>
          <w:lang w:val="ru-RU"/>
        </w:rPr>
        <w:t>год</w:t>
      </w:r>
      <w:r>
        <w:rPr>
          <w:lang w:val="ru-RU"/>
        </w:rPr>
        <w:t>.</w:t>
      </w:r>
    </w:p>
    <w:p w14:paraId="436E1EAD" w14:textId="3685AE9F" w:rsidR="00F817F1" w:rsidRPr="00F817F1" w:rsidRDefault="00F817F1" w:rsidP="002C54B2">
      <w:pPr>
        <w:spacing w:line="360" w:lineRule="auto"/>
        <w:ind w:left="708"/>
        <w:jc w:val="both"/>
        <w:rPr>
          <w:lang w:val="ru-RU"/>
        </w:rPr>
      </w:pPr>
      <w:r w:rsidRPr="00F817F1">
        <w:rPr>
          <w:lang w:val="ru-RU"/>
        </w:rPr>
        <w:t>• Ежегодное сокращение прямой</w:t>
      </w:r>
      <w:r>
        <w:rPr>
          <w:lang w:val="ru-RU"/>
        </w:rPr>
        <w:t xml:space="preserve"> </w:t>
      </w:r>
      <w:r w:rsidRPr="00F817F1">
        <w:rPr>
          <w:lang w:val="ru-RU"/>
        </w:rPr>
        <w:t>эмиссии парниковых газов за счет</w:t>
      </w:r>
      <w:r>
        <w:rPr>
          <w:lang w:val="ru-RU"/>
        </w:rPr>
        <w:t xml:space="preserve"> </w:t>
      </w:r>
      <w:r w:rsidRPr="00F817F1">
        <w:rPr>
          <w:lang w:val="ru-RU"/>
        </w:rPr>
        <w:t>сокращения объемов сжигаемого</w:t>
      </w:r>
      <w:r>
        <w:rPr>
          <w:lang w:val="ru-RU"/>
        </w:rPr>
        <w:t xml:space="preserve"> </w:t>
      </w:r>
      <w:r w:rsidRPr="00F817F1">
        <w:rPr>
          <w:lang w:val="ru-RU"/>
        </w:rPr>
        <w:t>топлива</w:t>
      </w:r>
      <w:r>
        <w:rPr>
          <w:lang w:val="ru-RU"/>
        </w:rPr>
        <w:t xml:space="preserve"> в</w:t>
      </w:r>
      <w:r w:rsidRPr="00F817F1">
        <w:rPr>
          <w:lang w:val="ru-RU"/>
        </w:rPr>
        <w:t xml:space="preserve"> тонн</w:t>
      </w:r>
      <w:r>
        <w:rPr>
          <w:lang w:val="ru-RU"/>
        </w:rPr>
        <w:t>ах</w:t>
      </w:r>
      <w:r w:rsidRPr="00F817F1">
        <w:rPr>
          <w:lang w:val="ru-RU"/>
        </w:rPr>
        <w:t xml:space="preserve"> </w:t>
      </w:r>
      <w:r w:rsidRPr="00F817F1">
        <w:t>CO</w:t>
      </w:r>
      <w:r w:rsidRPr="00F817F1">
        <w:rPr>
          <w:lang w:val="ru-RU"/>
        </w:rPr>
        <w:t>2-экв. в год</w:t>
      </w:r>
      <w:r>
        <w:rPr>
          <w:lang w:val="ru-RU"/>
        </w:rPr>
        <w:t>.</w:t>
      </w:r>
    </w:p>
    <w:p w14:paraId="3EB839B4" w14:textId="2F2E0BFB" w:rsidR="00761AE4" w:rsidRDefault="00F817F1" w:rsidP="002C54B2">
      <w:pPr>
        <w:spacing w:line="360" w:lineRule="auto"/>
        <w:ind w:left="708"/>
        <w:jc w:val="both"/>
        <w:rPr>
          <w:lang w:val="ru-RU"/>
        </w:rPr>
      </w:pPr>
      <w:r w:rsidRPr="00F817F1">
        <w:rPr>
          <w:lang w:val="ru-RU"/>
        </w:rPr>
        <w:t>• Ежегодное сокращение косвенной</w:t>
      </w:r>
      <w:r>
        <w:rPr>
          <w:lang w:val="ru-RU"/>
        </w:rPr>
        <w:t xml:space="preserve"> </w:t>
      </w:r>
      <w:r w:rsidRPr="00F817F1">
        <w:rPr>
          <w:lang w:val="ru-RU"/>
        </w:rPr>
        <w:t>эмиссии парниковых газов за счет</w:t>
      </w:r>
      <w:r>
        <w:rPr>
          <w:lang w:val="ru-RU"/>
        </w:rPr>
        <w:t xml:space="preserve"> </w:t>
      </w:r>
      <w:r w:rsidRPr="00F817F1">
        <w:rPr>
          <w:lang w:val="ru-RU"/>
        </w:rPr>
        <w:t>сокращения объемов потребляемой</w:t>
      </w:r>
      <w:r>
        <w:rPr>
          <w:lang w:val="ru-RU"/>
        </w:rPr>
        <w:t xml:space="preserve"> энергии в</w:t>
      </w:r>
      <w:r w:rsidRPr="00F817F1">
        <w:rPr>
          <w:lang w:val="ru-RU"/>
        </w:rPr>
        <w:t xml:space="preserve"> тонн</w:t>
      </w:r>
      <w:r>
        <w:rPr>
          <w:lang w:val="ru-RU"/>
        </w:rPr>
        <w:t>ах</w:t>
      </w:r>
      <w:r w:rsidRPr="00F817F1">
        <w:rPr>
          <w:lang w:val="ru-RU"/>
        </w:rPr>
        <w:t xml:space="preserve"> </w:t>
      </w:r>
      <w:r w:rsidRPr="00F817F1">
        <w:t>CO</w:t>
      </w:r>
      <w:r w:rsidRPr="00F817F1">
        <w:rPr>
          <w:lang w:val="ru-RU"/>
        </w:rPr>
        <w:t>2-экв. в год</w:t>
      </w:r>
      <w:r>
        <w:rPr>
          <w:lang w:val="ru-RU"/>
        </w:rPr>
        <w:t xml:space="preserve">. </w:t>
      </w:r>
    </w:p>
    <w:p w14:paraId="35E8596F" w14:textId="2698E763" w:rsidR="00F817F1" w:rsidRDefault="00F817F1" w:rsidP="002C54B2">
      <w:pPr>
        <w:spacing w:line="360" w:lineRule="auto"/>
        <w:jc w:val="both"/>
        <w:rPr>
          <w:lang w:val="ru-RU"/>
        </w:rPr>
      </w:pPr>
      <w:r w:rsidRPr="00F817F1">
        <w:rPr>
          <w:lang w:val="ru-RU"/>
        </w:rPr>
        <w:t>Примеры проектов потенциального</w:t>
      </w:r>
      <w:r>
        <w:rPr>
          <w:lang w:val="ru-RU"/>
        </w:rPr>
        <w:t xml:space="preserve"> </w:t>
      </w:r>
      <w:r w:rsidRPr="00F817F1">
        <w:rPr>
          <w:lang w:val="ru-RU"/>
        </w:rPr>
        <w:t xml:space="preserve">финансирования/рефинансирования </w:t>
      </w:r>
      <w:r>
        <w:rPr>
          <w:lang w:val="ru-RU"/>
        </w:rPr>
        <w:t>в области энергоэффективности:</w:t>
      </w:r>
    </w:p>
    <w:p w14:paraId="6060E5DE" w14:textId="74A9F0BE" w:rsidR="00F817F1" w:rsidRPr="00F817F1" w:rsidRDefault="00F817F1" w:rsidP="002C54B2">
      <w:pPr>
        <w:spacing w:line="360" w:lineRule="auto"/>
        <w:ind w:left="708"/>
        <w:jc w:val="both"/>
        <w:rPr>
          <w:lang w:val="ru-RU"/>
        </w:rPr>
      </w:pPr>
      <w:r w:rsidRPr="00F817F1">
        <w:rPr>
          <w:lang w:val="ru-RU"/>
        </w:rPr>
        <w:t xml:space="preserve">• </w:t>
      </w:r>
      <w:r>
        <w:rPr>
          <w:lang w:val="ru-RU"/>
        </w:rPr>
        <w:t>П</w:t>
      </w:r>
      <w:r w:rsidRPr="00F817F1">
        <w:rPr>
          <w:lang w:val="ru-RU"/>
        </w:rPr>
        <w:t>рограммы</w:t>
      </w:r>
      <w:r>
        <w:rPr>
          <w:lang w:val="ru-RU"/>
        </w:rPr>
        <w:t xml:space="preserve"> </w:t>
      </w:r>
      <w:r w:rsidRPr="00F817F1">
        <w:rPr>
          <w:lang w:val="ru-RU"/>
        </w:rPr>
        <w:t>повышения энергоэффективности</w:t>
      </w:r>
      <w:r>
        <w:rPr>
          <w:lang w:val="ru-RU"/>
        </w:rPr>
        <w:t xml:space="preserve"> </w:t>
      </w:r>
      <w:r w:rsidRPr="00F817F1">
        <w:rPr>
          <w:lang w:val="ru-RU"/>
        </w:rPr>
        <w:t>промышленных предприятий</w:t>
      </w:r>
      <w:r>
        <w:rPr>
          <w:lang w:val="ru-RU"/>
        </w:rPr>
        <w:t>.</w:t>
      </w:r>
    </w:p>
    <w:p w14:paraId="1C19A03C" w14:textId="16AC8D00" w:rsidR="00F817F1" w:rsidRPr="00F817F1" w:rsidRDefault="00F817F1" w:rsidP="002C54B2">
      <w:pPr>
        <w:spacing w:line="360" w:lineRule="auto"/>
        <w:ind w:left="708"/>
        <w:jc w:val="both"/>
        <w:rPr>
          <w:lang w:val="ru-RU"/>
        </w:rPr>
      </w:pPr>
      <w:r w:rsidRPr="00F817F1">
        <w:rPr>
          <w:lang w:val="ru-RU"/>
        </w:rPr>
        <w:lastRenderedPageBreak/>
        <w:t xml:space="preserve">• </w:t>
      </w:r>
      <w:r>
        <w:rPr>
          <w:lang w:val="ru-RU"/>
        </w:rPr>
        <w:t>П</w:t>
      </w:r>
      <w:r w:rsidRPr="00F817F1">
        <w:rPr>
          <w:lang w:val="ru-RU"/>
        </w:rPr>
        <w:t>рограммы</w:t>
      </w:r>
      <w:r>
        <w:rPr>
          <w:lang w:val="ru-RU"/>
        </w:rPr>
        <w:t xml:space="preserve"> </w:t>
      </w:r>
      <w:r w:rsidRPr="00F817F1">
        <w:rPr>
          <w:lang w:val="ru-RU"/>
        </w:rPr>
        <w:t>повышения энергоэффективности</w:t>
      </w:r>
      <w:r>
        <w:rPr>
          <w:lang w:val="ru-RU"/>
        </w:rPr>
        <w:t xml:space="preserve"> </w:t>
      </w:r>
      <w:r w:rsidRPr="00F817F1">
        <w:rPr>
          <w:lang w:val="ru-RU"/>
        </w:rPr>
        <w:t>объектов городского освещения</w:t>
      </w:r>
      <w:r>
        <w:rPr>
          <w:lang w:val="ru-RU"/>
        </w:rPr>
        <w:t xml:space="preserve"> </w:t>
      </w:r>
      <w:r w:rsidRPr="00F817F1">
        <w:rPr>
          <w:lang w:val="ru-RU"/>
        </w:rPr>
        <w:t>и прочей коммунальной</w:t>
      </w:r>
      <w:r>
        <w:rPr>
          <w:lang w:val="ru-RU"/>
        </w:rPr>
        <w:t xml:space="preserve"> </w:t>
      </w:r>
      <w:r w:rsidRPr="00F817F1">
        <w:rPr>
          <w:lang w:val="ru-RU"/>
        </w:rPr>
        <w:t>инфраструктуры</w:t>
      </w:r>
      <w:r>
        <w:rPr>
          <w:lang w:val="ru-RU"/>
        </w:rPr>
        <w:t>.</w:t>
      </w:r>
    </w:p>
    <w:p w14:paraId="4A3F48D0" w14:textId="68DA383E" w:rsidR="00761AE4" w:rsidRDefault="00F817F1" w:rsidP="002C54B2">
      <w:pPr>
        <w:spacing w:line="360" w:lineRule="auto"/>
        <w:ind w:left="708"/>
        <w:jc w:val="both"/>
        <w:rPr>
          <w:lang w:val="ru-RU"/>
        </w:rPr>
      </w:pPr>
      <w:r w:rsidRPr="00F817F1">
        <w:rPr>
          <w:lang w:val="ru-RU"/>
        </w:rPr>
        <w:t>• Строительство энергоэффективных</w:t>
      </w:r>
      <w:r>
        <w:rPr>
          <w:lang w:val="ru-RU"/>
        </w:rPr>
        <w:t xml:space="preserve"> </w:t>
      </w:r>
      <w:r w:rsidRPr="00F817F1">
        <w:rPr>
          <w:lang w:val="ru-RU"/>
        </w:rPr>
        <w:t>зданий и сооружений</w:t>
      </w:r>
      <w:r>
        <w:rPr>
          <w:lang w:val="ru-RU"/>
        </w:rPr>
        <w:t>.</w:t>
      </w:r>
    </w:p>
    <w:p w14:paraId="341F1BDE" w14:textId="3F7A14A6" w:rsidR="00B7095A" w:rsidRPr="00B7095A" w:rsidRDefault="00B7095A" w:rsidP="002C54B2">
      <w:pPr>
        <w:spacing w:line="360" w:lineRule="auto"/>
        <w:jc w:val="both"/>
        <w:rPr>
          <w:lang w:val="ru-RU"/>
        </w:rPr>
      </w:pPr>
      <w:r w:rsidRPr="00B7095A">
        <w:rPr>
          <w:lang w:val="ru-RU"/>
        </w:rPr>
        <w:t>Рекомендации</w:t>
      </w:r>
      <w:r w:rsidR="00172845">
        <w:rPr>
          <w:lang w:val="ru-RU"/>
        </w:rPr>
        <w:t xml:space="preserve"> по оценке возможного соответствия проекта требованиям ЕАБР</w:t>
      </w:r>
      <w:r w:rsidR="00172845">
        <w:rPr>
          <w:rStyle w:val="ae"/>
          <w:lang w:val="ru-RU"/>
        </w:rPr>
        <w:footnoteReference w:id="3"/>
      </w:r>
      <w:r w:rsidR="00172845" w:rsidRPr="00B7095A">
        <w:rPr>
          <w:lang w:val="ru-RU"/>
        </w:rPr>
        <w:t xml:space="preserve">:  </w:t>
      </w:r>
    </w:p>
    <w:p w14:paraId="287CF32F" w14:textId="4CA95382" w:rsidR="00B7095A" w:rsidRPr="00B7095A" w:rsidRDefault="00B7095A" w:rsidP="002C54B2">
      <w:pPr>
        <w:spacing w:line="360" w:lineRule="auto"/>
        <w:jc w:val="both"/>
        <w:rPr>
          <w:lang w:val="ru-RU"/>
        </w:rPr>
      </w:pPr>
      <w:r w:rsidRPr="00B7095A">
        <w:rPr>
          <w:lang w:val="ru-RU"/>
        </w:rPr>
        <w:t xml:space="preserve">- Провести предварительный анализ проекта на соответствие </w:t>
      </w:r>
      <w:r w:rsidR="00172845">
        <w:rPr>
          <w:lang w:val="ru-RU"/>
        </w:rPr>
        <w:t xml:space="preserve">проекта </w:t>
      </w:r>
      <w:r w:rsidR="002E4627">
        <w:rPr>
          <w:lang w:val="ru-RU"/>
        </w:rPr>
        <w:t>т</w:t>
      </w:r>
      <w:r w:rsidRPr="00B7095A">
        <w:rPr>
          <w:lang w:val="ru-RU"/>
        </w:rPr>
        <w:t>аксономии ВЭБ.РФ</w:t>
      </w:r>
      <w:r w:rsidR="002E4627">
        <w:rPr>
          <w:rStyle w:val="ae"/>
          <w:lang w:val="ru-RU"/>
        </w:rPr>
        <w:footnoteReference w:id="4"/>
      </w:r>
      <w:r w:rsidRPr="00B7095A">
        <w:rPr>
          <w:lang w:val="ru-RU"/>
        </w:rPr>
        <w:t xml:space="preserve">, </w:t>
      </w:r>
      <w:r w:rsidR="002E4627" w:rsidRPr="002E4627">
        <w:rPr>
          <w:lang w:val="ru-RU"/>
        </w:rPr>
        <w:t>таксономии "зеленых" проектов</w:t>
      </w:r>
      <w:r w:rsidR="002E4627">
        <w:rPr>
          <w:lang w:val="ru-RU"/>
        </w:rPr>
        <w:t xml:space="preserve"> Республики Казахстан</w:t>
      </w:r>
      <w:r w:rsidR="002E4627">
        <w:rPr>
          <w:rStyle w:val="ae"/>
          <w:lang w:val="ru-RU"/>
        </w:rPr>
        <w:footnoteReference w:id="5"/>
      </w:r>
      <w:r w:rsidR="002E4627">
        <w:rPr>
          <w:lang w:val="ru-RU"/>
        </w:rPr>
        <w:t xml:space="preserve">, </w:t>
      </w:r>
      <w:r w:rsidRPr="00B7095A">
        <w:rPr>
          <w:lang w:val="ru-RU"/>
        </w:rPr>
        <w:t xml:space="preserve">EU </w:t>
      </w:r>
      <w:proofErr w:type="spellStart"/>
      <w:r w:rsidRPr="00B7095A">
        <w:rPr>
          <w:lang w:val="ru-RU"/>
        </w:rPr>
        <w:t>Green</w:t>
      </w:r>
      <w:proofErr w:type="spellEnd"/>
      <w:r w:rsidRPr="00B7095A">
        <w:rPr>
          <w:lang w:val="ru-RU"/>
        </w:rPr>
        <w:t xml:space="preserve"> </w:t>
      </w:r>
      <w:proofErr w:type="spellStart"/>
      <w:r w:rsidRPr="00B7095A">
        <w:rPr>
          <w:lang w:val="ru-RU"/>
        </w:rPr>
        <w:t>Taxonomy</w:t>
      </w:r>
      <w:proofErr w:type="spellEnd"/>
      <w:r w:rsidR="00EF28CE">
        <w:rPr>
          <w:rStyle w:val="ae"/>
          <w:lang w:val="ru-RU"/>
        </w:rPr>
        <w:footnoteReference w:id="6"/>
      </w:r>
      <w:r w:rsidRPr="00B7095A">
        <w:rPr>
          <w:lang w:val="ru-RU"/>
        </w:rPr>
        <w:t xml:space="preserve"> или стандартам </w:t>
      </w:r>
      <w:r w:rsidR="00EF28CE">
        <w:rPr>
          <w:lang w:val="en-GB"/>
        </w:rPr>
        <w:t>ICMA</w:t>
      </w:r>
      <w:r w:rsidR="00EF28CE">
        <w:rPr>
          <w:rStyle w:val="ae"/>
          <w:lang w:val="ru-RU"/>
        </w:rPr>
        <w:footnoteReference w:id="7"/>
      </w:r>
      <w:r w:rsidRPr="00B7095A">
        <w:rPr>
          <w:lang w:val="ru-RU"/>
        </w:rPr>
        <w:t xml:space="preserve">.  </w:t>
      </w:r>
    </w:p>
    <w:p w14:paraId="5C8A1C40" w14:textId="431DD732" w:rsidR="00B7095A" w:rsidRPr="00B7095A" w:rsidRDefault="00B7095A" w:rsidP="002C54B2">
      <w:pPr>
        <w:spacing w:line="360" w:lineRule="auto"/>
        <w:jc w:val="both"/>
        <w:rPr>
          <w:lang w:val="ru-RU"/>
        </w:rPr>
      </w:pPr>
      <w:r w:rsidRPr="00B7095A">
        <w:rPr>
          <w:lang w:val="ru-RU"/>
        </w:rPr>
        <w:t xml:space="preserve">- Подготовить технико-экономическое обоснование (ТЭО) с расчетами:  </w:t>
      </w:r>
    </w:p>
    <w:p w14:paraId="396ABCB6" w14:textId="77777777" w:rsidR="00B7095A" w:rsidRPr="00B7095A" w:rsidRDefault="00B7095A" w:rsidP="002C54B2">
      <w:pPr>
        <w:spacing w:line="360" w:lineRule="auto"/>
        <w:jc w:val="both"/>
        <w:rPr>
          <w:lang w:val="ru-RU"/>
        </w:rPr>
      </w:pPr>
      <w:r w:rsidRPr="00B7095A">
        <w:rPr>
          <w:lang w:val="ru-RU"/>
        </w:rPr>
        <w:t xml:space="preserve">  - Энергосбережения (</w:t>
      </w:r>
      <w:proofErr w:type="spellStart"/>
      <w:r w:rsidRPr="00B7095A">
        <w:rPr>
          <w:lang w:val="ru-RU"/>
        </w:rPr>
        <w:t>МВт·ч</w:t>
      </w:r>
      <w:proofErr w:type="spellEnd"/>
      <w:r w:rsidRPr="00B7095A">
        <w:rPr>
          <w:lang w:val="ru-RU"/>
        </w:rPr>
        <w:t xml:space="preserve">/год).  </w:t>
      </w:r>
    </w:p>
    <w:p w14:paraId="4ED65674" w14:textId="77777777" w:rsidR="00B7095A" w:rsidRPr="00B7095A" w:rsidRDefault="00B7095A" w:rsidP="002C54B2">
      <w:pPr>
        <w:spacing w:line="360" w:lineRule="auto"/>
        <w:jc w:val="both"/>
        <w:rPr>
          <w:lang w:val="ru-RU"/>
        </w:rPr>
      </w:pPr>
      <w:r w:rsidRPr="00B7095A">
        <w:rPr>
          <w:lang w:val="ru-RU"/>
        </w:rPr>
        <w:t xml:space="preserve">  - Снижения выбросов CO₂ (тонн/год).  </w:t>
      </w:r>
    </w:p>
    <w:p w14:paraId="0FBF6CCC" w14:textId="360914F9" w:rsidR="00B7095A" w:rsidRPr="00B7095A" w:rsidRDefault="00B7095A" w:rsidP="002C54B2">
      <w:pPr>
        <w:spacing w:line="360" w:lineRule="auto"/>
        <w:jc w:val="both"/>
        <w:rPr>
          <w:lang w:val="ru-RU"/>
        </w:rPr>
      </w:pPr>
      <w:r w:rsidRPr="00B7095A">
        <w:rPr>
          <w:lang w:val="ru-RU"/>
        </w:rPr>
        <w:t xml:space="preserve">  - Эффективности использования ресурсов (</w:t>
      </w:r>
      <w:r w:rsidR="00172845">
        <w:rPr>
          <w:lang w:val="ru-RU"/>
        </w:rPr>
        <w:t>тепловая,</w:t>
      </w:r>
      <w:r w:rsidRPr="00B7095A">
        <w:rPr>
          <w:lang w:val="ru-RU"/>
        </w:rPr>
        <w:t xml:space="preserve"> электр</w:t>
      </w:r>
      <w:r w:rsidR="00172845">
        <w:rPr>
          <w:lang w:val="ru-RU"/>
        </w:rPr>
        <w:t xml:space="preserve">ическая </w:t>
      </w:r>
      <w:r w:rsidRPr="00B7095A">
        <w:rPr>
          <w:lang w:val="ru-RU"/>
        </w:rPr>
        <w:t xml:space="preserve">энергия).  </w:t>
      </w:r>
    </w:p>
    <w:p w14:paraId="3C06D0AC" w14:textId="2E2784E4" w:rsidR="00B7095A" w:rsidRPr="00783B9F" w:rsidRDefault="00B7095A" w:rsidP="002C54B2">
      <w:pPr>
        <w:spacing w:line="360" w:lineRule="auto"/>
        <w:jc w:val="both"/>
        <w:rPr>
          <w:b/>
          <w:bCs/>
          <w:lang w:val="ru-RU"/>
        </w:rPr>
      </w:pPr>
      <w:r w:rsidRPr="00783B9F">
        <w:rPr>
          <w:b/>
          <w:bCs/>
          <w:lang w:val="ru-RU"/>
        </w:rPr>
        <w:t xml:space="preserve">Подготовка документации для оценки проекта  </w:t>
      </w:r>
    </w:p>
    <w:p w14:paraId="6C8036D7" w14:textId="1AC553F5" w:rsidR="00B7095A" w:rsidRPr="00B7095A" w:rsidRDefault="00B7095A" w:rsidP="002C54B2">
      <w:pPr>
        <w:spacing w:line="360" w:lineRule="auto"/>
        <w:jc w:val="both"/>
        <w:rPr>
          <w:lang w:val="ru-RU"/>
        </w:rPr>
      </w:pPr>
      <w:r w:rsidRPr="00B7095A">
        <w:rPr>
          <w:lang w:val="ru-RU"/>
        </w:rPr>
        <w:t>Для прохождения отбора необходимо предоставить</w:t>
      </w:r>
      <w:r w:rsidR="00531ECA">
        <w:rPr>
          <w:lang w:val="ru-RU"/>
        </w:rPr>
        <w:t xml:space="preserve"> в ЕАБР следующие документы</w:t>
      </w:r>
      <w:r w:rsidRPr="00B7095A">
        <w:rPr>
          <w:lang w:val="ru-RU"/>
        </w:rPr>
        <w:t xml:space="preserve">:  </w:t>
      </w:r>
    </w:p>
    <w:p w14:paraId="5102C19B" w14:textId="571E0F56" w:rsidR="00B7095A" w:rsidRPr="00B7095A" w:rsidRDefault="00B7095A" w:rsidP="002C54B2">
      <w:pPr>
        <w:spacing w:line="360" w:lineRule="auto"/>
        <w:jc w:val="both"/>
        <w:rPr>
          <w:lang w:val="ru-RU"/>
        </w:rPr>
      </w:pPr>
      <w:r w:rsidRPr="00B7095A">
        <w:rPr>
          <w:lang w:val="ru-RU"/>
        </w:rPr>
        <w:t xml:space="preserve">1. Анкета предварительной оценки  </w:t>
      </w:r>
    </w:p>
    <w:p w14:paraId="733CC273" w14:textId="20F4C569" w:rsidR="00B7095A" w:rsidRPr="00B7095A" w:rsidRDefault="00B7095A" w:rsidP="002C54B2">
      <w:pPr>
        <w:spacing w:line="360" w:lineRule="auto"/>
        <w:jc w:val="both"/>
        <w:rPr>
          <w:lang w:val="ru-RU"/>
        </w:rPr>
      </w:pPr>
      <w:r w:rsidRPr="00B7095A">
        <w:rPr>
          <w:lang w:val="ru-RU"/>
        </w:rPr>
        <w:t xml:space="preserve">- Заполнить форму предварительной оценки соответствия проекта миссии и стратегическим целям ЕАБР. </w:t>
      </w:r>
      <w:r w:rsidR="00531ECA">
        <w:rPr>
          <w:lang w:val="ru-RU"/>
        </w:rPr>
        <w:t>Необходимо у</w:t>
      </w:r>
      <w:r w:rsidRPr="00B7095A">
        <w:rPr>
          <w:lang w:val="ru-RU"/>
        </w:rPr>
        <w:t xml:space="preserve">казать:  </w:t>
      </w:r>
    </w:p>
    <w:p w14:paraId="7CFCB2FB" w14:textId="6D99DC6D" w:rsidR="00B7095A" w:rsidRPr="00B7095A" w:rsidRDefault="00B7095A" w:rsidP="002C54B2">
      <w:pPr>
        <w:spacing w:line="360" w:lineRule="auto"/>
        <w:jc w:val="both"/>
        <w:rPr>
          <w:lang w:val="ru-RU"/>
        </w:rPr>
      </w:pPr>
      <w:r w:rsidRPr="00B7095A">
        <w:rPr>
          <w:lang w:val="ru-RU"/>
        </w:rPr>
        <w:t xml:space="preserve">  - Категорию проекта (энергоэффективность,</w:t>
      </w:r>
      <w:r w:rsidR="00531ECA">
        <w:rPr>
          <w:lang w:val="ru-RU"/>
        </w:rPr>
        <w:t xml:space="preserve"> </w:t>
      </w:r>
      <w:r w:rsidR="00531ECA" w:rsidRPr="00B7095A">
        <w:rPr>
          <w:lang w:val="ru-RU"/>
        </w:rPr>
        <w:t>ВИЭ</w:t>
      </w:r>
      <w:r w:rsidRPr="00B7095A">
        <w:rPr>
          <w:lang w:val="ru-RU"/>
        </w:rPr>
        <w:t xml:space="preserve">).  </w:t>
      </w:r>
    </w:p>
    <w:p w14:paraId="056B351B" w14:textId="77777777" w:rsidR="00B7095A" w:rsidRPr="00B7095A" w:rsidRDefault="00B7095A" w:rsidP="002C54B2">
      <w:pPr>
        <w:spacing w:line="360" w:lineRule="auto"/>
        <w:jc w:val="both"/>
        <w:rPr>
          <w:lang w:val="ru-RU"/>
        </w:rPr>
      </w:pPr>
      <w:r w:rsidRPr="00B7095A">
        <w:rPr>
          <w:lang w:val="ru-RU"/>
        </w:rPr>
        <w:t xml:space="preserve">  - Ожидаемые экологические и социальные эффекты.  </w:t>
      </w:r>
    </w:p>
    <w:p w14:paraId="7CE11244" w14:textId="1D5281EF" w:rsidR="00B7095A" w:rsidRPr="00B7095A" w:rsidRDefault="00B7095A" w:rsidP="002C54B2">
      <w:pPr>
        <w:spacing w:line="360" w:lineRule="auto"/>
        <w:jc w:val="both"/>
        <w:rPr>
          <w:lang w:val="ru-RU"/>
        </w:rPr>
      </w:pPr>
      <w:r w:rsidRPr="00B7095A">
        <w:rPr>
          <w:lang w:val="ru-RU"/>
        </w:rPr>
        <w:t xml:space="preserve">  - Соответствие таксономиям (ВЭБ.РФ, ICMA, EU </w:t>
      </w:r>
      <w:proofErr w:type="spellStart"/>
      <w:r w:rsidRPr="00B7095A">
        <w:rPr>
          <w:lang w:val="ru-RU"/>
        </w:rPr>
        <w:t>Taxonomy</w:t>
      </w:r>
      <w:proofErr w:type="spellEnd"/>
      <w:r w:rsidR="00531ECA">
        <w:rPr>
          <w:lang w:val="ru-RU"/>
        </w:rPr>
        <w:t xml:space="preserve"> и др.</w:t>
      </w:r>
      <w:r w:rsidRPr="00B7095A">
        <w:rPr>
          <w:lang w:val="ru-RU"/>
        </w:rPr>
        <w:t xml:space="preserve">).  </w:t>
      </w:r>
    </w:p>
    <w:p w14:paraId="052DF11A" w14:textId="7A27AC60" w:rsidR="00B7095A" w:rsidRPr="00B7095A" w:rsidRDefault="00B7095A" w:rsidP="002C54B2">
      <w:pPr>
        <w:spacing w:line="360" w:lineRule="auto"/>
        <w:jc w:val="both"/>
        <w:rPr>
          <w:lang w:val="ru-RU"/>
        </w:rPr>
      </w:pPr>
      <w:r w:rsidRPr="00B7095A">
        <w:rPr>
          <w:lang w:val="ru-RU"/>
        </w:rPr>
        <w:t xml:space="preserve">2. Концепция проекта  </w:t>
      </w:r>
    </w:p>
    <w:p w14:paraId="4E87356E" w14:textId="77777777" w:rsidR="00B7095A" w:rsidRPr="00B7095A" w:rsidRDefault="00B7095A" w:rsidP="002C54B2">
      <w:pPr>
        <w:spacing w:line="360" w:lineRule="auto"/>
        <w:jc w:val="both"/>
        <w:rPr>
          <w:lang w:val="ru-RU"/>
        </w:rPr>
      </w:pPr>
      <w:r w:rsidRPr="00B7095A">
        <w:rPr>
          <w:lang w:val="ru-RU"/>
        </w:rPr>
        <w:lastRenderedPageBreak/>
        <w:t xml:space="preserve">- Описание проекта, включая:  </w:t>
      </w:r>
    </w:p>
    <w:p w14:paraId="3419A5A3" w14:textId="77777777" w:rsidR="00B7095A" w:rsidRPr="00B7095A" w:rsidRDefault="00B7095A" w:rsidP="002C54B2">
      <w:pPr>
        <w:spacing w:line="360" w:lineRule="auto"/>
        <w:jc w:val="both"/>
        <w:rPr>
          <w:lang w:val="ru-RU"/>
        </w:rPr>
      </w:pPr>
      <w:r w:rsidRPr="00B7095A">
        <w:rPr>
          <w:lang w:val="ru-RU"/>
        </w:rPr>
        <w:t xml:space="preserve">  - Технологии и оборудование.  </w:t>
      </w:r>
    </w:p>
    <w:p w14:paraId="56F42E89" w14:textId="77777777" w:rsidR="00B7095A" w:rsidRPr="00B7095A" w:rsidRDefault="00B7095A" w:rsidP="002C54B2">
      <w:pPr>
        <w:spacing w:line="360" w:lineRule="auto"/>
        <w:jc w:val="both"/>
        <w:rPr>
          <w:lang w:val="ru-RU"/>
        </w:rPr>
      </w:pPr>
      <w:r w:rsidRPr="00B7095A">
        <w:rPr>
          <w:lang w:val="ru-RU"/>
        </w:rPr>
        <w:t xml:space="preserve">  - Планируемые сроки реализации.  </w:t>
      </w:r>
    </w:p>
    <w:p w14:paraId="70AA332E" w14:textId="77777777" w:rsidR="00B7095A" w:rsidRPr="00B7095A" w:rsidRDefault="00B7095A" w:rsidP="002C54B2">
      <w:pPr>
        <w:spacing w:line="360" w:lineRule="auto"/>
        <w:jc w:val="both"/>
        <w:rPr>
          <w:lang w:val="ru-RU"/>
        </w:rPr>
      </w:pPr>
      <w:r w:rsidRPr="00B7095A">
        <w:rPr>
          <w:lang w:val="ru-RU"/>
        </w:rPr>
        <w:t xml:space="preserve">  - Бюджет и источники финансирования.  </w:t>
      </w:r>
    </w:p>
    <w:p w14:paraId="4C7A5DC0" w14:textId="77777777" w:rsidR="00B7095A" w:rsidRPr="00B7095A" w:rsidRDefault="00B7095A" w:rsidP="002C54B2">
      <w:pPr>
        <w:spacing w:line="360" w:lineRule="auto"/>
        <w:jc w:val="both"/>
        <w:rPr>
          <w:lang w:val="ru-RU"/>
        </w:rPr>
      </w:pPr>
      <w:r w:rsidRPr="00B7095A">
        <w:rPr>
          <w:lang w:val="ru-RU"/>
        </w:rPr>
        <w:t xml:space="preserve">  - Ожидаемые показатели энергосбережения и снижения выбросов.  </w:t>
      </w:r>
    </w:p>
    <w:p w14:paraId="6F3E9C01" w14:textId="2F73FDB9" w:rsidR="00B7095A" w:rsidRPr="00B7095A" w:rsidRDefault="00B7095A" w:rsidP="002C54B2">
      <w:pPr>
        <w:spacing w:line="360" w:lineRule="auto"/>
        <w:jc w:val="both"/>
        <w:rPr>
          <w:lang w:val="ru-RU"/>
        </w:rPr>
      </w:pPr>
      <w:r w:rsidRPr="00B7095A">
        <w:rPr>
          <w:lang w:val="ru-RU"/>
        </w:rPr>
        <w:t xml:space="preserve">3. Финансовая модель </w:t>
      </w:r>
      <w:r w:rsidR="00531ECA">
        <w:rPr>
          <w:lang w:val="ru-RU"/>
        </w:rPr>
        <w:t>проекта</w:t>
      </w:r>
    </w:p>
    <w:p w14:paraId="4FF3C4A1" w14:textId="77777777" w:rsidR="00B7095A" w:rsidRPr="00B7095A" w:rsidRDefault="00B7095A" w:rsidP="002C54B2">
      <w:pPr>
        <w:spacing w:line="360" w:lineRule="auto"/>
        <w:jc w:val="both"/>
        <w:rPr>
          <w:lang w:val="ru-RU"/>
        </w:rPr>
      </w:pPr>
      <w:r w:rsidRPr="00B7095A">
        <w:rPr>
          <w:lang w:val="ru-RU"/>
        </w:rPr>
        <w:t xml:space="preserve">- Расчет доходов и расходов.  </w:t>
      </w:r>
    </w:p>
    <w:p w14:paraId="55CB2E7A" w14:textId="77777777" w:rsidR="00B7095A" w:rsidRPr="00B7095A" w:rsidRDefault="00B7095A" w:rsidP="002C54B2">
      <w:pPr>
        <w:spacing w:line="360" w:lineRule="auto"/>
        <w:jc w:val="both"/>
        <w:rPr>
          <w:lang w:val="ru-RU"/>
        </w:rPr>
      </w:pPr>
      <w:r w:rsidRPr="00B7095A">
        <w:rPr>
          <w:lang w:val="ru-RU"/>
        </w:rPr>
        <w:t xml:space="preserve">- План погашения заемных средств.  </w:t>
      </w:r>
    </w:p>
    <w:p w14:paraId="6EC2DDED" w14:textId="77777777" w:rsidR="00B7095A" w:rsidRPr="00B7095A" w:rsidRDefault="00B7095A" w:rsidP="002C54B2">
      <w:pPr>
        <w:spacing w:line="360" w:lineRule="auto"/>
        <w:jc w:val="both"/>
        <w:rPr>
          <w:lang w:val="ru-RU"/>
        </w:rPr>
      </w:pPr>
      <w:r w:rsidRPr="00B7095A">
        <w:rPr>
          <w:lang w:val="ru-RU"/>
        </w:rPr>
        <w:t xml:space="preserve">- Анализ чувствительности (риски изменения тарифов, спроса).  </w:t>
      </w:r>
    </w:p>
    <w:p w14:paraId="652B63B8" w14:textId="3AC1CCA4" w:rsidR="00B7095A" w:rsidRPr="00B7095A" w:rsidRDefault="00B7095A" w:rsidP="002C54B2">
      <w:pPr>
        <w:spacing w:line="360" w:lineRule="auto"/>
        <w:jc w:val="both"/>
        <w:rPr>
          <w:lang w:val="ru-RU"/>
        </w:rPr>
      </w:pPr>
      <w:r w:rsidRPr="00B7095A">
        <w:rPr>
          <w:lang w:val="ru-RU"/>
        </w:rPr>
        <w:t xml:space="preserve">4. Экологическая и социальная оценка (ESG-анализ)  </w:t>
      </w:r>
    </w:p>
    <w:p w14:paraId="4C9D7BE2" w14:textId="77777777" w:rsidR="00B7095A" w:rsidRPr="00B7095A" w:rsidRDefault="00B7095A" w:rsidP="002C54B2">
      <w:pPr>
        <w:spacing w:line="360" w:lineRule="auto"/>
        <w:jc w:val="both"/>
        <w:rPr>
          <w:lang w:val="ru-RU"/>
        </w:rPr>
      </w:pPr>
      <w:r w:rsidRPr="00B7095A">
        <w:rPr>
          <w:lang w:val="ru-RU"/>
        </w:rPr>
        <w:t xml:space="preserve">- Оценка воздействия на окружающую среду (ОВОС).  </w:t>
      </w:r>
    </w:p>
    <w:p w14:paraId="50A67879" w14:textId="77777777" w:rsidR="00B7095A" w:rsidRPr="00B7095A" w:rsidRDefault="00B7095A" w:rsidP="002C54B2">
      <w:pPr>
        <w:spacing w:line="360" w:lineRule="auto"/>
        <w:jc w:val="both"/>
        <w:rPr>
          <w:lang w:val="ru-RU"/>
        </w:rPr>
      </w:pPr>
      <w:r w:rsidRPr="00B7095A">
        <w:rPr>
          <w:lang w:val="ru-RU"/>
        </w:rPr>
        <w:t xml:space="preserve">- План минимизации негативных эффектов.  </w:t>
      </w:r>
    </w:p>
    <w:p w14:paraId="1D689EF6" w14:textId="717D2A76" w:rsidR="00B7095A" w:rsidRPr="00B7095A" w:rsidRDefault="00B7095A" w:rsidP="002C54B2">
      <w:pPr>
        <w:spacing w:line="360" w:lineRule="auto"/>
        <w:jc w:val="both"/>
        <w:rPr>
          <w:lang w:val="ru-RU"/>
        </w:rPr>
      </w:pPr>
      <w:r w:rsidRPr="00B7095A">
        <w:rPr>
          <w:lang w:val="ru-RU"/>
        </w:rPr>
        <w:t xml:space="preserve">- Соответствие Политике экологической и социальной ответственности ЕАБР.  </w:t>
      </w:r>
    </w:p>
    <w:p w14:paraId="123DD5C2" w14:textId="597793BD" w:rsidR="00B7095A" w:rsidRPr="00B7095A" w:rsidRDefault="00B7095A" w:rsidP="002C54B2">
      <w:pPr>
        <w:spacing w:line="360" w:lineRule="auto"/>
        <w:jc w:val="both"/>
        <w:rPr>
          <w:lang w:val="ru-RU"/>
        </w:rPr>
      </w:pPr>
      <w:r w:rsidRPr="00B7095A">
        <w:rPr>
          <w:lang w:val="ru-RU"/>
        </w:rPr>
        <w:t xml:space="preserve">5. Заключение внешнего верификатора (при необходимости)  </w:t>
      </w:r>
    </w:p>
    <w:p w14:paraId="693E2CCB" w14:textId="4CE05AD0" w:rsidR="00B7095A" w:rsidRPr="00B7095A" w:rsidRDefault="00B7095A" w:rsidP="002C54B2">
      <w:pPr>
        <w:spacing w:line="360" w:lineRule="auto"/>
        <w:jc w:val="both"/>
        <w:rPr>
          <w:lang w:val="ru-RU"/>
        </w:rPr>
      </w:pPr>
      <w:r w:rsidRPr="00B7095A">
        <w:rPr>
          <w:lang w:val="ru-RU"/>
        </w:rPr>
        <w:t xml:space="preserve">- Независимая экспертиза соответствия проекта стандартам ICMA или CBI.  </w:t>
      </w:r>
    </w:p>
    <w:p w14:paraId="1149663A" w14:textId="77777777" w:rsidR="00B7095A" w:rsidRPr="00B7095A" w:rsidRDefault="00B7095A" w:rsidP="002C54B2">
      <w:pPr>
        <w:spacing w:line="360" w:lineRule="auto"/>
        <w:jc w:val="both"/>
        <w:rPr>
          <w:lang w:val="ru-RU"/>
        </w:rPr>
      </w:pPr>
      <w:r w:rsidRPr="00B7095A">
        <w:rPr>
          <w:lang w:val="ru-RU"/>
        </w:rPr>
        <w:t xml:space="preserve">- Аудит энергоэффективности (если требуется).  </w:t>
      </w:r>
    </w:p>
    <w:p w14:paraId="6D8197AC" w14:textId="728E912F" w:rsidR="00B7095A" w:rsidRPr="00531ECA" w:rsidRDefault="00B7095A" w:rsidP="002C54B2">
      <w:pPr>
        <w:spacing w:line="360" w:lineRule="auto"/>
        <w:jc w:val="both"/>
        <w:rPr>
          <w:b/>
          <w:bCs/>
          <w:lang w:val="ru-RU"/>
        </w:rPr>
      </w:pPr>
      <w:r w:rsidRPr="00531ECA">
        <w:rPr>
          <w:b/>
          <w:bCs/>
          <w:lang w:val="ru-RU"/>
        </w:rPr>
        <w:t xml:space="preserve">Процесс подачи и рассмотрения заявки  </w:t>
      </w:r>
    </w:p>
    <w:p w14:paraId="1FA481FF" w14:textId="4249276A" w:rsidR="00B7095A" w:rsidRPr="00B7095A" w:rsidRDefault="00B7095A" w:rsidP="002C54B2">
      <w:pPr>
        <w:spacing w:line="360" w:lineRule="auto"/>
        <w:jc w:val="both"/>
        <w:rPr>
          <w:lang w:val="ru-RU"/>
        </w:rPr>
      </w:pPr>
      <w:r w:rsidRPr="00B7095A">
        <w:rPr>
          <w:lang w:val="ru-RU"/>
        </w:rPr>
        <w:t xml:space="preserve">1. Предварительная оценка – подача анкеты и ТЭО.  </w:t>
      </w:r>
    </w:p>
    <w:p w14:paraId="051BC551" w14:textId="5E487787" w:rsidR="00B7095A" w:rsidRPr="00B7095A" w:rsidRDefault="00B7095A" w:rsidP="002C54B2">
      <w:pPr>
        <w:spacing w:line="360" w:lineRule="auto"/>
        <w:jc w:val="both"/>
        <w:rPr>
          <w:lang w:val="ru-RU"/>
        </w:rPr>
      </w:pPr>
      <w:r w:rsidRPr="00B7095A">
        <w:rPr>
          <w:lang w:val="ru-RU"/>
        </w:rPr>
        <w:t xml:space="preserve">2. Промежуточная оценка – анализ концепции и финансовой модели.  </w:t>
      </w:r>
    </w:p>
    <w:p w14:paraId="156D7850" w14:textId="3338513E" w:rsidR="00B7095A" w:rsidRPr="00B7095A" w:rsidRDefault="00B7095A" w:rsidP="002C54B2">
      <w:pPr>
        <w:spacing w:line="360" w:lineRule="auto"/>
        <w:jc w:val="both"/>
        <w:rPr>
          <w:lang w:val="ru-RU"/>
        </w:rPr>
      </w:pPr>
      <w:r w:rsidRPr="00B7095A">
        <w:rPr>
          <w:lang w:val="ru-RU"/>
        </w:rPr>
        <w:t xml:space="preserve">3. Итоговая оценка – рассмотрение Кредитным комитетом ЕАБР.  </w:t>
      </w:r>
    </w:p>
    <w:p w14:paraId="23AD5E45" w14:textId="749F58AC" w:rsidR="00B7095A" w:rsidRPr="00B7095A" w:rsidRDefault="00B7095A" w:rsidP="002C54B2">
      <w:pPr>
        <w:spacing w:line="360" w:lineRule="auto"/>
        <w:jc w:val="both"/>
        <w:rPr>
          <w:lang w:val="ru-RU"/>
        </w:rPr>
      </w:pPr>
      <w:r w:rsidRPr="00B7095A">
        <w:rPr>
          <w:lang w:val="ru-RU"/>
        </w:rPr>
        <w:t xml:space="preserve">4. Включение в реестр «зеленых» проектов – после одобрения.  </w:t>
      </w:r>
    </w:p>
    <w:p w14:paraId="042A5786" w14:textId="13AFFA8D" w:rsidR="00B7095A" w:rsidRPr="00B7095A" w:rsidRDefault="00B7095A" w:rsidP="002C54B2">
      <w:pPr>
        <w:spacing w:line="360" w:lineRule="auto"/>
        <w:jc w:val="both"/>
        <w:rPr>
          <w:lang w:val="ru-RU"/>
        </w:rPr>
      </w:pPr>
      <w:r w:rsidRPr="00B7095A">
        <w:rPr>
          <w:lang w:val="ru-RU"/>
        </w:rPr>
        <w:t xml:space="preserve">Сроки:  </w:t>
      </w:r>
    </w:p>
    <w:p w14:paraId="676C5118" w14:textId="64140246" w:rsidR="00B7095A" w:rsidRPr="00B7095A" w:rsidRDefault="00B7095A" w:rsidP="002C54B2">
      <w:pPr>
        <w:spacing w:line="360" w:lineRule="auto"/>
        <w:jc w:val="both"/>
        <w:rPr>
          <w:lang w:val="ru-RU"/>
        </w:rPr>
      </w:pPr>
      <w:r w:rsidRPr="00B7095A">
        <w:rPr>
          <w:lang w:val="ru-RU"/>
        </w:rPr>
        <w:t xml:space="preserve">- Предварительная оценка – 1–2 месяца.  </w:t>
      </w:r>
    </w:p>
    <w:p w14:paraId="4170065F" w14:textId="42A81ED9" w:rsidR="00B7095A" w:rsidRPr="00B7095A" w:rsidRDefault="00B7095A" w:rsidP="002C54B2">
      <w:pPr>
        <w:spacing w:line="360" w:lineRule="auto"/>
        <w:jc w:val="both"/>
        <w:rPr>
          <w:lang w:val="ru-RU"/>
        </w:rPr>
      </w:pPr>
      <w:r w:rsidRPr="00B7095A">
        <w:rPr>
          <w:lang w:val="ru-RU"/>
        </w:rPr>
        <w:t xml:space="preserve">- Полный цикл рассмотрения – 3–6 месяцев.  </w:t>
      </w:r>
    </w:p>
    <w:p w14:paraId="1A703B94" w14:textId="063485E3" w:rsidR="00B7095A" w:rsidRPr="00531ECA" w:rsidRDefault="00B7095A" w:rsidP="002C54B2">
      <w:pPr>
        <w:spacing w:line="360" w:lineRule="auto"/>
        <w:jc w:val="both"/>
        <w:rPr>
          <w:b/>
          <w:bCs/>
          <w:lang w:val="ru-RU"/>
        </w:rPr>
      </w:pPr>
      <w:r w:rsidRPr="00531ECA">
        <w:rPr>
          <w:b/>
          <w:bCs/>
          <w:lang w:val="ru-RU"/>
        </w:rPr>
        <w:lastRenderedPageBreak/>
        <w:t xml:space="preserve">Управление средствами и отчетность  </w:t>
      </w:r>
    </w:p>
    <w:p w14:paraId="5EAA6E40" w14:textId="77777777" w:rsidR="00B7095A" w:rsidRPr="00B7095A" w:rsidRDefault="00B7095A" w:rsidP="002C54B2">
      <w:pPr>
        <w:spacing w:line="360" w:lineRule="auto"/>
        <w:jc w:val="both"/>
        <w:rPr>
          <w:lang w:val="ru-RU"/>
        </w:rPr>
      </w:pPr>
      <w:r w:rsidRPr="00B7095A">
        <w:rPr>
          <w:lang w:val="ru-RU"/>
        </w:rPr>
        <w:t xml:space="preserve">После получения финансирования необходимо:  </w:t>
      </w:r>
    </w:p>
    <w:p w14:paraId="4B546866" w14:textId="12F3ADD7" w:rsidR="00B7095A" w:rsidRPr="00B7095A" w:rsidRDefault="00B7095A" w:rsidP="002C54B2">
      <w:pPr>
        <w:spacing w:line="360" w:lineRule="auto"/>
        <w:jc w:val="both"/>
        <w:rPr>
          <w:lang w:val="ru-RU"/>
        </w:rPr>
      </w:pPr>
      <w:r w:rsidRPr="00B7095A">
        <w:rPr>
          <w:lang w:val="ru-RU"/>
        </w:rPr>
        <w:t xml:space="preserve">- Вести отдельный учет использования </w:t>
      </w:r>
      <w:r w:rsidR="00531ECA">
        <w:rPr>
          <w:lang w:val="ru-RU"/>
        </w:rPr>
        <w:t xml:space="preserve">привлеченных </w:t>
      </w:r>
      <w:r w:rsidRPr="00B7095A">
        <w:rPr>
          <w:lang w:val="ru-RU"/>
        </w:rPr>
        <w:t xml:space="preserve">средств.  </w:t>
      </w:r>
    </w:p>
    <w:p w14:paraId="0035FCCE" w14:textId="7E5876C7" w:rsidR="00B7095A" w:rsidRPr="00B7095A" w:rsidRDefault="00B7095A" w:rsidP="002C54B2">
      <w:pPr>
        <w:spacing w:line="360" w:lineRule="auto"/>
        <w:jc w:val="both"/>
        <w:rPr>
          <w:lang w:val="ru-RU"/>
        </w:rPr>
      </w:pPr>
      <w:r w:rsidRPr="00B7095A">
        <w:rPr>
          <w:lang w:val="ru-RU"/>
        </w:rPr>
        <w:t>- Ежегодно предоставлять Отчет о распределении средств и Отчет о воздействии</w:t>
      </w:r>
      <w:r w:rsidR="00531ECA">
        <w:rPr>
          <w:lang w:val="ru-RU"/>
        </w:rPr>
        <w:t xml:space="preserve"> проекта</w:t>
      </w:r>
      <w:r w:rsidRPr="00B7095A">
        <w:rPr>
          <w:lang w:val="ru-RU"/>
        </w:rPr>
        <w:t xml:space="preserve">.  </w:t>
      </w:r>
    </w:p>
    <w:p w14:paraId="323025F5" w14:textId="77777777" w:rsidR="00B7095A" w:rsidRPr="00B7095A" w:rsidRDefault="00B7095A" w:rsidP="002C54B2">
      <w:pPr>
        <w:spacing w:line="360" w:lineRule="auto"/>
        <w:jc w:val="both"/>
        <w:rPr>
          <w:lang w:val="ru-RU"/>
        </w:rPr>
      </w:pPr>
      <w:r w:rsidRPr="00B7095A">
        <w:rPr>
          <w:lang w:val="ru-RU"/>
        </w:rPr>
        <w:t xml:space="preserve">- Отслеживать ключевые показатели (энергосбережение, снижение выбросов).  </w:t>
      </w:r>
    </w:p>
    <w:p w14:paraId="61BBA8EB" w14:textId="7D1D6129" w:rsidR="00B7095A" w:rsidRPr="00B7095A" w:rsidRDefault="00B7095A" w:rsidP="002C54B2">
      <w:pPr>
        <w:spacing w:line="360" w:lineRule="auto"/>
        <w:jc w:val="both"/>
        <w:rPr>
          <w:lang w:val="ru-RU"/>
        </w:rPr>
      </w:pPr>
      <w:r w:rsidRPr="00B7095A">
        <w:rPr>
          <w:lang w:val="ru-RU"/>
        </w:rPr>
        <w:t>Рекомендации</w:t>
      </w:r>
      <w:r w:rsidR="00531ECA">
        <w:rPr>
          <w:lang w:val="ru-RU"/>
        </w:rPr>
        <w:t xml:space="preserve"> ЕАБР</w:t>
      </w:r>
      <w:r w:rsidRPr="00B7095A">
        <w:rPr>
          <w:lang w:val="ru-RU"/>
        </w:rPr>
        <w:t xml:space="preserve">:  </w:t>
      </w:r>
    </w:p>
    <w:p w14:paraId="774C2F16" w14:textId="418BF467" w:rsidR="00B7095A" w:rsidRPr="00B7095A" w:rsidRDefault="00B7095A" w:rsidP="002C54B2">
      <w:pPr>
        <w:spacing w:line="360" w:lineRule="auto"/>
        <w:jc w:val="both"/>
        <w:rPr>
          <w:lang w:val="ru-RU"/>
        </w:rPr>
      </w:pPr>
      <w:r w:rsidRPr="00B7095A">
        <w:rPr>
          <w:lang w:val="ru-RU"/>
        </w:rPr>
        <w:t xml:space="preserve">- Использовать методики ICMA для расчета воздействия.  </w:t>
      </w:r>
    </w:p>
    <w:p w14:paraId="40B75887" w14:textId="77777777" w:rsidR="00B7095A" w:rsidRPr="00B7095A" w:rsidRDefault="00B7095A" w:rsidP="002C54B2">
      <w:pPr>
        <w:spacing w:line="360" w:lineRule="auto"/>
        <w:jc w:val="both"/>
        <w:rPr>
          <w:lang w:val="ru-RU"/>
        </w:rPr>
      </w:pPr>
      <w:r w:rsidRPr="00B7095A">
        <w:rPr>
          <w:lang w:val="ru-RU"/>
        </w:rPr>
        <w:t xml:space="preserve">- Привлекать независимых аудиторов для верификации отчетности.  </w:t>
      </w:r>
    </w:p>
    <w:p w14:paraId="050EAE66" w14:textId="75580EE6" w:rsidR="00C174EE" w:rsidRPr="00C174EE" w:rsidRDefault="00C174EE" w:rsidP="002C54B2">
      <w:pPr>
        <w:spacing w:line="360" w:lineRule="auto"/>
        <w:jc w:val="both"/>
        <w:rPr>
          <w:lang w:val="ru-RU"/>
        </w:rPr>
      </w:pPr>
      <w:r w:rsidRPr="00C174EE">
        <w:rPr>
          <w:lang w:val="ru-RU"/>
        </w:rPr>
        <w:t>После выпуска «зеленых» облигаций Банка использование поступлений от</w:t>
      </w:r>
      <w:r>
        <w:rPr>
          <w:lang w:val="ru-RU"/>
        </w:rPr>
        <w:t xml:space="preserve"> </w:t>
      </w:r>
      <w:r w:rsidRPr="00C174EE">
        <w:rPr>
          <w:lang w:val="ru-RU"/>
        </w:rPr>
        <w:t>данных размещений будет регулярно контролироваться и раскрываться публично на ежегодной</w:t>
      </w:r>
      <w:r>
        <w:rPr>
          <w:lang w:val="ru-RU"/>
        </w:rPr>
        <w:t xml:space="preserve"> </w:t>
      </w:r>
      <w:r w:rsidRPr="00C174EE">
        <w:rPr>
          <w:lang w:val="ru-RU"/>
        </w:rPr>
        <w:t>основе вплоть до полного погашения облигационных займов.</w:t>
      </w:r>
    </w:p>
    <w:p w14:paraId="1F4525A5" w14:textId="77777777" w:rsidR="00C174EE" w:rsidRPr="00C174EE" w:rsidRDefault="00C174EE" w:rsidP="002C54B2">
      <w:pPr>
        <w:spacing w:line="360" w:lineRule="auto"/>
        <w:jc w:val="both"/>
        <w:rPr>
          <w:lang w:val="ru-RU"/>
        </w:rPr>
      </w:pPr>
      <w:r w:rsidRPr="00C174EE">
        <w:rPr>
          <w:lang w:val="ru-RU"/>
        </w:rPr>
        <w:t>Банк будет публиковать два типа отчетности:</w:t>
      </w:r>
    </w:p>
    <w:p w14:paraId="3AC1F353" w14:textId="77777777" w:rsidR="00C174EE" w:rsidRPr="00C174EE" w:rsidRDefault="00C174EE" w:rsidP="002C54B2">
      <w:pPr>
        <w:spacing w:line="360" w:lineRule="auto"/>
        <w:jc w:val="both"/>
        <w:rPr>
          <w:lang w:val="ru-RU"/>
        </w:rPr>
      </w:pPr>
      <w:r w:rsidRPr="00C174EE">
        <w:rPr>
          <w:lang w:val="ru-RU"/>
        </w:rPr>
        <w:t>• отчет о распределении средств;</w:t>
      </w:r>
    </w:p>
    <w:p w14:paraId="3F5EEB36" w14:textId="3DA07C76" w:rsidR="00531ECA" w:rsidRPr="00C174EE" w:rsidRDefault="00C174EE" w:rsidP="002C54B2">
      <w:pPr>
        <w:spacing w:line="360" w:lineRule="auto"/>
        <w:jc w:val="both"/>
        <w:rPr>
          <w:lang w:val="ru-RU"/>
        </w:rPr>
      </w:pPr>
      <w:r w:rsidRPr="00C174EE">
        <w:rPr>
          <w:lang w:val="ru-RU"/>
        </w:rPr>
        <w:t>• отчет о воздействии.</w:t>
      </w:r>
    </w:p>
    <w:p w14:paraId="353544D1" w14:textId="264DF303" w:rsidR="00531ECA" w:rsidRDefault="00C174EE" w:rsidP="002C54B2">
      <w:pPr>
        <w:spacing w:line="360" w:lineRule="auto"/>
        <w:jc w:val="both"/>
        <w:rPr>
          <w:lang w:val="ru-RU"/>
        </w:rPr>
      </w:pPr>
      <w:r w:rsidRPr="00C174EE">
        <w:rPr>
          <w:lang w:val="ru-RU"/>
        </w:rPr>
        <w:t xml:space="preserve">При формировании </w:t>
      </w:r>
      <w:r>
        <w:rPr>
          <w:lang w:val="ru-RU"/>
        </w:rPr>
        <w:t xml:space="preserve">данных </w:t>
      </w:r>
      <w:r w:rsidRPr="00C174EE">
        <w:rPr>
          <w:lang w:val="ru-RU"/>
        </w:rPr>
        <w:t>отчет</w:t>
      </w:r>
      <w:r>
        <w:rPr>
          <w:lang w:val="ru-RU"/>
        </w:rPr>
        <w:t xml:space="preserve">ов </w:t>
      </w:r>
      <w:r w:rsidRPr="00C174EE">
        <w:rPr>
          <w:lang w:val="ru-RU"/>
        </w:rPr>
        <w:t>Банк руководств</w:t>
      </w:r>
      <w:r>
        <w:rPr>
          <w:lang w:val="ru-RU"/>
        </w:rPr>
        <w:t xml:space="preserve">уется </w:t>
      </w:r>
      <w:r w:rsidRPr="00C174EE">
        <w:rPr>
          <w:lang w:val="ru-RU"/>
        </w:rPr>
        <w:t>гармонизированными принципами отчетности о воздействии по «зеленым»</w:t>
      </w:r>
      <w:r>
        <w:rPr>
          <w:lang w:val="ru-RU"/>
        </w:rPr>
        <w:t xml:space="preserve"> </w:t>
      </w:r>
      <w:r w:rsidRPr="00C174EE">
        <w:rPr>
          <w:lang w:val="ru-RU"/>
        </w:rPr>
        <w:t>облигациям Международной ассоциации рынков капитала</w:t>
      </w:r>
      <w:r>
        <w:rPr>
          <w:lang w:val="ru-RU"/>
        </w:rPr>
        <w:t xml:space="preserve">, </w:t>
      </w:r>
      <w:r w:rsidRPr="00C174EE">
        <w:rPr>
          <w:lang w:val="ru-RU"/>
        </w:rPr>
        <w:t xml:space="preserve">Политикой </w:t>
      </w:r>
      <w:r>
        <w:rPr>
          <w:lang w:val="ru-RU"/>
        </w:rPr>
        <w:t>ЕАБР</w:t>
      </w:r>
      <w:r w:rsidRPr="00172845">
        <w:rPr>
          <w:lang w:val="ru-RU"/>
        </w:rPr>
        <w:t xml:space="preserve"> по выпуску «зеленых» и социальных долговых инструментов</w:t>
      </w:r>
      <w:r w:rsidRPr="00C174EE">
        <w:rPr>
          <w:lang w:val="ru-RU"/>
        </w:rPr>
        <w:t xml:space="preserve"> и действующими ВНД Банка.</w:t>
      </w:r>
    </w:p>
    <w:p w14:paraId="5996CAEC" w14:textId="78C2DD41" w:rsidR="00B945AF" w:rsidRPr="00B945AF" w:rsidRDefault="00B945AF" w:rsidP="002C54B2">
      <w:pPr>
        <w:spacing w:line="360" w:lineRule="auto"/>
        <w:jc w:val="both"/>
        <w:rPr>
          <w:lang w:val="ru-RU"/>
        </w:rPr>
      </w:pPr>
      <w:r w:rsidRPr="00B945AF">
        <w:rPr>
          <w:lang w:val="ru-RU"/>
        </w:rPr>
        <w:t>Банк публик</w:t>
      </w:r>
      <w:r>
        <w:rPr>
          <w:lang w:val="ru-RU"/>
        </w:rPr>
        <w:t>ует</w:t>
      </w:r>
      <w:r w:rsidRPr="00B945AF">
        <w:rPr>
          <w:lang w:val="ru-RU"/>
        </w:rPr>
        <w:t xml:space="preserve"> отчет о воздействии, в котором будет изложено предполагаемое</w:t>
      </w:r>
      <w:r>
        <w:rPr>
          <w:lang w:val="ru-RU"/>
        </w:rPr>
        <w:t xml:space="preserve"> </w:t>
      </w:r>
      <w:r w:rsidRPr="00B945AF">
        <w:rPr>
          <w:lang w:val="ru-RU"/>
        </w:rPr>
        <w:t>и (или) фактическое (в случае если это применимо) воздействие на окружающую среду и общество</w:t>
      </w:r>
      <w:r>
        <w:rPr>
          <w:lang w:val="ru-RU"/>
        </w:rPr>
        <w:t xml:space="preserve"> всех </w:t>
      </w:r>
      <w:r w:rsidRPr="00B945AF">
        <w:rPr>
          <w:lang w:val="ru-RU"/>
        </w:rPr>
        <w:t xml:space="preserve">проектов, финансируемых или рефинансируемых за счет выпуска «зеленых» </w:t>
      </w:r>
      <w:r>
        <w:rPr>
          <w:lang w:val="ru-RU"/>
        </w:rPr>
        <w:t xml:space="preserve">облигаций </w:t>
      </w:r>
      <w:r w:rsidRPr="00B945AF">
        <w:rPr>
          <w:lang w:val="ru-RU"/>
        </w:rPr>
        <w:t>Банка.</w:t>
      </w:r>
    </w:p>
    <w:p w14:paraId="7F0521F3" w14:textId="6E2FAE6B" w:rsidR="00B945AF" w:rsidRPr="00B945AF" w:rsidRDefault="00B945AF" w:rsidP="002C54B2">
      <w:pPr>
        <w:spacing w:line="360" w:lineRule="auto"/>
        <w:jc w:val="both"/>
        <w:rPr>
          <w:lang w:val="ru-RU"/>
        </w:rPr>
      </w:pPr>
      <w:r w:rsidRPr="00B945AF">
        <w:rPr>
          <w:lang w:val="ru-RU"/>
        </w:rPr>
        <w:t>В отчете о воздействии будет изложен ряд ключевых показателей в соответствии с гармонизированной системой отчетности о воздействии для «зеленых» облигаций. Банк допускает</w:t>
      </w:r>
      <w:r>
        <w:rPr>
          <w:lang w:val="ru-RU"/>
        </w:rPr>
        <w:t xml:space="preserve"> </w:t>
      </w:r>
      <w:r w:rsidRPr="00B945AF">
        <w:rPr>
          <w:lang w:val="ru-RU"/>
        </w:rPr>
        <w:t>привлечение внешних экспертов для расчета отдельных экологических и социальных эффектов по</w:t>
      </w:r>
      <w:r>
        <w:rPr>
          <w:lang w:val="ru-RU"/>
        </w:rPr>
        <w:t xml:space="preserve"> </w:t>
      </w:r>
      <w:r w:rsidRPr="00B945AF">
        <w:rPr>
          <w:lang w:val="ru-RU"/>
        </w:rPr>
        <w:t xml:space="preserve">финансируемым или </w:t>
      </w:r>
      <w:r w:rsidRPr="00B945AF">
        <w:rPr>
          <w:lang w:val="ru-RU"/>
        </w:rPr>
        <w:lastRenderedPageBreak/>
        <w:t xml:space="preserve">рефинансируемым проектам. </w:t>
      </w:r>
      <w:r>
        <w:rPr>
          <w:lang w:val="ru-RU"/>
        </w:rPr>
        <w:t>П</w:t>
      </w:r>
      <w:r w:rsidRPr="00B945AF">
        <w:rPr>
          <w:lang w:val="ru-RU"/>
        </w:rPr>
        <w:t>о отдельным</w:t>
      </w:r>
      <w:r>
        <w:rPr>
          <w:lang w:val="ru-RU"/>
        </w:rPr>
        <w:t xml:space="preserve"> </w:t>
      </w:r>
      <w:r w:rsidRPr="00B945AF">
        <w:rPr>
          <w:lang w:val="ru-RU"/>
        </w:rPr>
        <w:t>проектам в рамках отчета о воздействии будут публиковаться результаты мониторинга социально-экономических и экологических эффектов.</w:t>
      </w:r>
    </w:p>
    <w:p w14:paraId="53107857" w14:textId="77A86583" w:rsidR="00C174EE" w:rsidRDefault="00B945AF" w:rsidP="002C54B2">
      <w:pPr>
        <w:spacing w:line="360" w:lineRule="auto"/>
        <w:jc w:val="both"/>
        <w:rPr>
          <w:lang w:val="ru-RU"/>
        </w:rPr>
      </w:pPr>
      <w:r w:rsidRPr="00B945AF">
        <w:rPr>
          <w:lang w:val="ru-RU"/>
        </w:rPr>
        <w:t>В целях соответствия лучшим мировым практикам, в том числе практикам международных банков</w:t>
      </w:r>
      <w:r>
        <w:rPr>
          <w:lang w:val="ru-RU"/>
        </w:rPr>
        <w:t xml:space="preserve"> </w:t>
      </w:r>
      <w:r w:rsidRPr="00B945AF">
        <w:rPr>
          <w:lang w:val="ru-RU"/>
        </w:rPr>
        <w:t>развития, ЕАБР может привлечь внешнего верификатора для проведения независимой оценки</w:t>
      </w:r>
      <w:r>
        <w:rPr>
          <w:lang w:val="ru-RU"/>
        </w:rPr>
        <w:t xml:space="preserve"> </w:t>
      </w:r>
      <w:r w:rsidRPr="00B945AF">
        <w:rPr>
          <w:lang w:val="ru-RU"/>
        </w:rPr>
        <w:t>отдельных выпусков «зеленых» облигаций, проектов,</w:t>
      </w:r>
      <w:r>
        <w:rPr>
          <w:lang w:val="ru-RU"/>
        </w:rPr>
        <w:t xml:space="preserve"> </w:t>
      </w:r>
      <w:r w:rsidRPr="00B945AF">
        <w:rPr>
          <w:lang w:val="ru-RU"/>
        </w:rPr>
        <w:t xml:space="preserve">которые были профинансированы или рефинансированы «зелеными» облигациями, и отчетности об использовании средств, полученных за счет выпуска «зеленых» облигаций, в том числе отчеты о распределении </w:t>
      </w:r>
      <w:r>
        <w:rPr>
          <w:lang w:val="ru-RU"/>
        </w:rPr>
        <w:t xml:space="preserve">средств </w:t>
      </w:r>
      <w:r w:rsidRPr="00B945AF">
        <w:rPr>
          <w:lang w:val="ru-RU"/>
        </w:rPr>
        <w:t>и отчеты о воздействии.</w:t>
      </w:r>
    </w:p>
    <w:p w14:paraId="53D6665B" w14:textId="2653F250" w:rsidR="0099147B" w:rsidRDefault="0099147B">
      <w:pPr>
        <w:rPr>
          <w:lang w:val="ru-RU"/>
        </w:rPr>
      </w:pPr>
      <w:r>
        <w:rPr>
          <w:lang w:val="ru-RU"/>
        </w:rPr>
        <w:br w:type="page"/>
      </w:r>
    </w:p>
    <w:p w14:paraId="7D83B9B4" w14:textId="4668B23D" w:rsidR="00B945AF" w:rsidRPr="00065AA5" w:rsidRDefault="0099147B" w:rsidP="0099147B">
      <w:pPr>
        <w:pStyle w:val="1"/>
        <w:spacing w:line="360" w:lineRule="auto"/>
        <w:jc w:val="both"/>
        <w:rPr>
          <w:sz w:val="28"/>
          <w:szCs w:val="28"/>
          <w:lang w:val="en-GB"/>
        </w:rPr>
      </w:pPr>
      <w:bookmarkStart w:id="12" w:name="_Toc199748215"/>
      <w:r w:rsidRPr="0099147B">
        <w:rPr>
          <w:sz w:val="28"/>
          <w:szCs w:val="28"/>
          <w:lang w:val="ru-RU"/>
        </w:rPr>
        <w:lastRenderedPageBreak/>
        <w:t>Ссылки</w:t>
      </w:r>
      <w:bookmarkEnd w:id="12"/>
      <w:r w:rsidRPr="00065AA5">
        <w:rPr>
          <w:sz w:val="28"/>
          <w:szCs w:val="28"/>
          <w:lang w:val="en-GB"/>
        </w:rPr>
        <w:t xml:space="preserve"> </w:t>
      </w:r>
    </w:p>
    <w:p w14:paraId="64C2945B" w14:textId="77777777" w:rsidR="00065AA5" w:rsidRPr="00065AA5" w:rsidRDefault="00065AA5" w:rsidP="00065AA5">
      <w:pPr>
        <w:pStyle w:val="a7"/>
        <w:numPr>
          <w:ilvl w:val="0"/>
          <w:numId w:val="11"/>
        </w:numPr>
        <w:spacing w:line="360" w:lineRule="auto"/>
        <w:jc w:val="both"/>
        <w:rPr>
          <w:lang w:val="ru-RU"/>
        </w:rPr>
      </w:pPr>
      <w:r w:rsidRPr="00065AA5">
        <w:rPr>
          <w:lang w:val="ru-RU"/>
        </w:rPr>
        <w:t xml:space="preserve">ВЭБ.РФ, Методология зеленых финансов </w:t>
      </w:r>
      <w:hyperlink r:id="rId9" w:history="1">
        <w:r w:rsidRPr="00065AA5">
          <w:rPr>
            <w:rStyle w:val="af"/>
            <w:lang w:val="ru-RU"/>
          </w:rPr>
          <w:t>https://veb.ru/ustojchivoe-razvitie/zeljonoe-finansirovanie/metodologiya/</w:t>
        </w:r>
      </w:hyperlink>
      <w:r w:rsidRPr="00065AA5">
        <w:rPr>
          <w:lang w:val="ru-RU"/>
        </w:rPr>
        <w:t xml:space="preserve"> </w:t>
      </w:r>
    </w:p>
    <w:p w14:paraId="4C332B0E" w14:textId="77777777" w:rsidR="00065AA5" w:rsidRPr="00065AA5" w:rsidRDefault="00065AA5" w:rsidP="00065AA5">
      <w:pPr>
        <w:pStyle w:val="a7"/>
        <w:numPr>
          <w:ilvl w:val="0"/>
          <w:numId w:val="11"/>
        </w:numPr>
        <w:spacing w:line="360" w:lineRule="auto"/>
        <w:jc w:val="both"/>
      </w:pPr>
      <w:r w:rsidRPr="00065AA5">
        <w:rPr>
          <w:lang w:val="ru-RU"/>
        </w:rPr>
        <w:t xml:space="preserve">Критерии зеленых проектов государств-членов ЕАЭС. </w:t>
      </w:r>
      <w:hyperlink r:id="rId10" w:history="1">
        <w:r w:rsidRPr="002C54B2">
          <w:rPr>
            <w:rStyle w:val="af"/>
          </w:rPr>
          <w:t>https://eec.eaeunion.org/upload/medialibrary/fbf/avdqxnky1ryap880n9fh90rg550y0gf4/Kriterii-dlya-opublikovaniya-_Modelnaya-taksonomiya_-17.04.pdf</w:t>
        </w:r>
      </w:hyperlink>
    </w:p>
    <w:p w14:paraId="17C26278" w14:textId="77777777" w:rsidR="00065AA5" w:rsidRPr="00065AA5" w:rsidRDefault="00065AA5" w:rsidP="00065AA5">
      <w:pPr>
        <w:pStyle w:val="a7"/>
        <w:numPr>
          <w:ilvl w:val="0"/>
          <w:numId w:val="11"/>
        </w:numPr>
        <w:spacing w:line="360" w:lineRule="auto"/>
        <w:jc w:val="both"/>
        <w:rPr>
          <w:lang w:val="ru-RU"/>
        </w:rPr>
      </w:pPr>
      <w:r w:rsidRPr="00065AA5">
        <w:rPr>
          <w:lang w:val="ru-RU"/>
        </w:rPr>
        <w:t xml:space="preserve">Политика Евразийского Банка Развития по выпуску «зеленых» и социальных долговых инструментов, 2021. </w:t>
      </w:r>
      <w:hyperlink r:id="rId11" w:history="1">
        <w:r w:rsidRPr="00065AA5">
          <w:rPr>
            <w:rStyle w:val="af"/>
            <w:lang w:val="ru-RU"/>
          </w:rPr>
          <w:t>https://eabr.org/upload/iblock/724/ESG-Bonds_04.10.2021_3_rus.cleaned.pdf</w:t>
        </w:r>
      </w:hyperlink>
      <w:r w:rsidRPr="00065AA5">
        <w:rPr>
          <w:lang w:val="ru-RU"/>
        </w:rPr>
        <w:t xml:space="preserve"> </w:t>
      </w:r>
    </w:p>
    <w:p w14:paraId="5A947CCB" w14:textId="41FF9C39" w:rsidR="00065AA5" w:rsidRPr="00065AA5" w:rsidRDefault="00065AA5" w:rsidP="00491D28">
      <w:pPr>
        <w:pStyle w:val="a7"/>
        <w:numPr>
          <w:ilvl w:val="0"/>
          <w:numId w:val="11"/>
        </w:numPr>
        <w:spacing w:line="360" w:lineRule="auto"/>
        <w:jc w:val="both"/>
        <w:rPr>
          <w:lang w:val="ru-RU"/>
        </w:rPr>
      </w:pPr>
      <w:r w:rsidRPr="00065AA5">
        <w:rPr>
          <w:lang w:val="ru-RU"/>
        </w:rPr>
        <w:t>Постановление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w:t>
      </w:r>
      <w:r w:rsidR="00491D28">
        <w:rPr>
          <w:lang w:val="ru-RU"/>
        </w:rPr>
        <w:t xml:space="preserve">ные" кредиты» </w:t>
      </w:r>
      <w:hyperlink r:id="rId12" w:history="1">
        <w:r w:rsidR="00491D28" w:rsidRPr="001E0009">
          <w:rPr>
            <w:rStyle w:val="af"/>
            <w:lang w:val="ru-RU"/>
          </w:rPr>
          <w:t>https://adilet.zan.kz/rus/docs/P2100000996/history</w:t>
        </w:r>
      </w:hyperlink>
      <w:r w:rsidR="00491D28">
        <w:rPr>
          <w:lang w:val="ru-RU"/>
        </w:rPr>
        <w:t xml:space="preserve">. </w:t>
      </w:r>
    </w:p>
    <w:p w14:paraId="0D845795" w14:textId="77777777" w:rsidR="00065AA5" w:rsidRPr="00065AA5" w:rsidRDefault="00065AA5" w:rsidP="00065AA5">
      <w:pPr>
        <w:pStyle w:val="a7"/>
        <w:numPr>
          <w:ilvl w:val="0"/>
          <w:numId w:val="11"/>
        </w:numPr>
        <w:spacing w:line="360" w:lineRule="auto"/>
        <w:jc w:val="both"/>
        <w:rPr>
          <w:lang w:val="ru-RU"/>
        </w:rPr>
      </w:pPr>
      <w:r w:rsidRPr="00065AA5">
        <w:rPr>
          <w:lang w:val="ru-RU"/>
        </w:rPr>
        <w:t>Постановление Правительства РФ от 21 сентября 2021 г. N 1587 "Об утверждении критериев проектов устойчивого (в том числе зеленого) развития в Российской Федерации и требований к системе верификации инструментов финансирования устойчивого развития в Российской Федерации" (с изменениями и дополнениями от 30 декабря 2023 г.).</w:t>
      </w:r>
    </w:p>
    <w:p w14:paraId="62759F09" w14:textId="77777777" w:rsidR="00065AA5" w:rsidRPr="00065AA5" w:rsidRDefault="00065AA5" w:rsidP="00065AA5">
      <w:pPr>
        <w:pStyle w:val="a7"/>
        <w:numPr>
          <w:ilvl w:val="0"/>
          <w:numId w:val="11"/>
        </w:numPr>
        <w:spacing w:line="360" w:lineRule="auto"/>
        <w:jc w:val="both"/>
        <w:rPr>
          <w:lang w:val="en-GB"/>
        </w:rPr>
      </w:pPr>
      <w:r w:rsidRPr="00065AA5">
        <w:rPr>
          <w:lang w:val="en-GB"/>
        </w:rPr>
        <w:t xml:space="preserve">Climate Bonds Initiative (CBI) </w:t>
      </w:r>
      <w:hyperlink r:id="rId13" w:history="1">
        <w:r w:rsidRPr="00065AA5">
          <w:rPr>
            <w:rStyle w:val="af"/>
            <w:lang w:val="en-GB"/>
          </w:rPr>
          <w:t>https://www.climatebonds.net/</w:t>
        </w:r>
      </w:hyperlink>
      <w:r w:rsidRPr="00065AA5">
        <w:rPr>
          <w:lang w:val="en-GB"/>
        </w:rPr>
        <w:t xml:space="preserve"> </w:t>
      </w:r>
    </w:p>
    <w:p w14:paraId="0B8869F8" w14:textId="77777777" w:rsidR="00065AA5" w:rsidRPr="00065AA5" w:rsidRDefault="00065AA5" w:rsidP="00065AA5">
      <w:pPr>
        <w:pStyle w:val="a7"/>
        <w:numPr>
          <w:ilvl w:val="0"/>
          <w:numId w:val="11"/>
        </w:numPr>
        <w:spacing w:line="360" w:lineRule="auto"/>
        <w:jc w:val="both"/>
        <w:rPr>
          <w:lang w:val="en-GB"/>
        </w:rPr>
      </w:pPr>
      <w:r w:rsidRPr="00065AA5">
        <w:rPr>
          <w:lang w:val="en-GB"/>
        </w:rPr>
        <w:t xml:space="preserve">European Commission, EU taxonomy for sustainable activities </w:t>
      </w:r>
      <w:hyperlink r:id="rId14" w:history="1">
        <w:r w:rsidRPr="00065AA5">
          <w:rPr>
            <w:rStyle w:val="af"/>
            <w:lang w:val="en-GB"/>
          </w:rPr>
          <w:t>https://finance.ec.europa.eu/sustainable-finance/tools-and-standards/eu-taxonomy-sustainable-activities_en</w:t>
        </w:r>
      </w:hyperlink>
      <w:r w:rsidRPr="00065AA5">
        <w:rPr>
          <w:lang w:val="en-GB"/>
        </w:rPr>
        <w:t xml:space="preserve"> </w:t>
      </w:r>
    </w:p>
    <w:p w14:paraId="728CE75F" w14:textId="77777777" w:rsidR="00065AA5" w:rsidRPr="00065AA5" w:rsidRDefault="00065AA5" w:rsidP="00065AA5">
      <w:pPr>
        <w:pStyle w:val="a7"/>
        <w:numPr>
          <w:ilvl w:val="0"/>
          <w:numId w:val="11"/>
        </w:numPr>
        <w:spacing w:line="360" w:lineRule="auto"/>
        <w:jc w:val="both"/>
        <w:rPr>
          <w:lang w:val="en-GB"/>
        </w:rPr>
      </w:pPr>
      <w:r w:rsidRPr="00065AA5">
        <w:rPr>
          <w:lang w:val="en-GB"/>
        </w:rPr>
        <w:t xml:space="preserve">GRI, The global standards for sustainability impacts </w:t>
      </w:r>
      <w:hyperlink r:id="rId15" w:history="1">
        <w:r w:rsidRPr="00065AA5">
          <w:rPr>
            <w:rStyle w:val="af"/>
            <w:lang w:val="en-GB"/>
          </w:rPr>
          <w:t>https://www.globalreporting.org/standards/</w:t>
        </w:r>
      </w:hyperlink>
      <w:r w:rsidRPr="00065AA5">
        <w:rPr>
          <w:lang w:val="en-GB"/>
        </w:rPr>
        <w:t xml:space="preserve"> </w:t>
      </w:r>
    </w:p>
    <w:p w14:paraId="17484F4B" w14:textId="77777777" w:rsidR="00065AA5" w:rsidRPr="00065AA5" w:rsidRDefault="00065AA5" w:rsidP="00065AA5">
      <w:pPr>
        <w:pStyle w:val="a7"/>
        <w:numPr>
          <w:ilvl w:val="0"/>
          <w:numId w:val="11"/>
        </w:numPr>
        <w:spacing w:line="360" w:lineRule="auto"/>
        <w:jc w:val="both"/>
        <w:rPr>
          <w:lang w:val="en-GB"/>
        </w:rPr>
      </w:pPr>
      <w:r w:rsidRPr="00065AA5">
        <w:rPr>
          <w:lang w:val="en-GB"/>
        </w:rPr>
        <w:t xml:space="preserve">ICMA, Green Bond Framework </w:t>
      </w:r>
      <w:hyperlink r:id="rId16" w:history="1">
        <w:r w:rsidRPr="00065AA5">
          <w:rPr>
            <w:rStyle w:val="af"/>
            <w:lang w:val="en-GB"/>
          </w:rPr>
          <w:t>https://www.icmagroup.org/sustainable-finance/the-principles-guidelines-and-handbooks/green-bond-principles-gbp/</w:t>
        </w:r>
      </w:hyperlink>
      <w:r w:rsidRPr="00065AA5">
        <w:rPr>
          <w:lang w:val="en-GB"/>
        </w:rPr>
        <w:t xml:space="preserve"> </w:t>
      </w:r>
    </w:p>
    <w:p w14:paraId="5AAA54C0" w14:textId="77777777" w:rsidR="00065AA5" w:rsidRDefault="00065AA5">
      <w:pPr>
        <w:spacing w:line="360" w:lineRule="auto"/>
        <w:jc w:val="both"/>
        <w:rPr>
          <w:lang w:val="en-GB"/>
        </w:rPr>
      </w:pPr>
    </w:p>
    <w:sectPr w:rsidR="00065A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9F578" w14:textId="77777777" w:rsidR="00FE4892" w:rsidRDefault="00FE4892" w:rsidP="00172845">
      <w:pPr>
        <w:spacing w:after="0" w:line="240" w:lineRule="auto"/>
      </w:pPr>
      <w:r>
        <w:separator/>
      </w:r>
    </w:p>
  </w:endnote>
  <w:endnote w:type="continuationSeparator" w:id="0">
    <w:p w14:paraId="5CED8F47" w14:textId="77777777" w:rsidR="00FE4892" w:rsidRDefault="00FE4892" w:rsidP="0017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2557"/>
      <w:docPartObj>
        <w:docPartGallery w:val="Page Numbers (Bottom of Page)"/>
        <w:docPartUnique/>
      </w:docPartObj>
    </w:sdtPr>
    <w:sdtEndPr/>
    <w:sdtContent>
      <w:p w14:paraId="71A98F06" w14:textId="47EBDC16" w:rsidR="00F920BC" w:rsidRDefault="00F920BC">
        <w:pPr>
          <w:pStyle w:val="af6"/>
          <w:jc w:val="center"/>
        </w:pPr>
        <w:r>
          <w:fldChar w:fldCharType="begin"/>
        </w:r>
        <w:r>
          <w:instrText>PAGE   \* MERGEFORMAT</w:instrText>
        </w:r>
        <w:r>
          <w:fldChar w:fldCharType="separate"/>
        </w:r>
        <w:r w:rsidR="008E3EB2" w:rsidRPr="008E3EB2">
          <w:rPr>
            <w:noProof/>
            <w:lang w:val="ru-RU"/>
          </w:rPr>
          <w:t>20</w:t>
        </w:r>
        <w:r>
          <w:fldChar w:fldCharType="end"/>
        </w:r>
      </w:p>
    </w:sdtContent>
  </w:sdt>
  <w:p w14:paraId="5B9B149B" w14:textId="77777777" w:rsidR="005D331B" w:rsidRDefault="005D331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0965F" w14:textId="77777777" w:rsidR="00FE4892" w:rsidRDefault="00FE4892" w:rsidP="00172845">
      <w:pPr>
        <w:spacing w:after="0" w:line="240" w:lineRule="auto"/>
      </w:pPr>
      <w:r>
        <w:separator/>
      </w:r>
    </w:p>
  </w:footnote>
  <w:footnote w:type="continuationSeparator" w:id="0">
    <w:p w14:paraId="459BD121" w14:textId="77777777" w:rsidR="00FE4892" w:rsidRDefault="00FE4892" w:rsidP="00172845">
      <w:pPr>
        <w:spacing w:after="0" w:line="240" w:lineRule="auto"/>
      </w:pPr>
      <w:r>
        <w:continuationSeparator/>
      </w:r>
    </w:p>
  </w:footnote>
  <w:footnote w:id="1">
    <w:p w14:paraId="39E34654" w14:textId="18FE8ED0" w:rsidR="00EB2CF4" w:rsidRPr="00EB2CF4" w:rsidRDefault="00EB2CF4">
      <w:pPr>
        <w:pStyle w:val="ac"/>
        <w:rPr>
          <w:lang w:val="ru-RU"/>
        </w:rPr>
      </w:pPr>
      <w:r>
        <w:rPr>
          <w:rStyle w:val="ae"/>
        </w:rPr>
        <w:footnoteRef/>
      </w:r>
      <w:r w:rsidRPr="00EB2CF4">
        <w:rPr>
          <w:lang w:val="ru-RU"/>
        </w:rPr>
        <w:t xml:space="preserve"> Постановление Правительства РФ от 21 сентября 2021 г. N 1587 "Об утверждении критериев проектов устойчивого (в том числе зеленого) развития в Российской Федерации и требований к системе верификации инструментов финансирования устойчивого развития в Российской Федерации" (с изменениями и дополнениями от 30 декабря 2023 г.).</w:t>
      </w:r>
    </w:p>
  </w:footnote>
  <w:footnote w:id="2">
    <w:p w14:paraId="6ED59BA8" w14:textId="5B08FC06" w:rsidR="00244E99" w:rsidRPr="002C54B2" w:rsidRDefault="00244E99">
      <w:pPr>
        <w:pStyle w:val="ac"/>
      </w:pPr>
      <w:r>
        <w:rPr>
          <w:rStyle w:val="ae"/>
        </w:rPr>
        <w:footnoteRef/>
      </w:r>
      <w:r w:rsidRPr="00244E99">
        <w:rPr>
          <w:lang w:val="ru-RU"/>
        </w:rPr>
        <w:t xml:space="preserve"> </w:t>
      </w:r>
      <w:r>
        <w:rPr>
          <w:lang w:val="ru-RU"/>
        </w:rPr>
        <w:t>К</w:t>
      </w:r>
      <w:r w:rsidRPr="00244E99">
        <w:rPr>
          <w:lang w:val="ru-RU"/>
        </w:rPr>
        <w:t>ритерии зеленых проектов государств</w:t>
      </w:r>
      <w:r>
        <w:rPr>
          <w:lang w:val="ru-RU"/>
        </w:rPr>
        <w:t>-</w:t>
      </w:r>
      <w:r w:rsidRPr="00244E99">
        <w:rPr>
          <w:lang w:val="ru-RU"/>
        </w:rPr>
        <w:t>членов Евразийского Экономического Союза</w:t>
      </w:r>
      <w:r>
        <w:rPr>
          <w:lang w:val="ru-RU"/>
        </w:rPr>
        <w:t>.</w:t>
      </w:r>
      <w:r w:rsidRPr="00244E99">
        <w:rPr>
          <w:lang w:val="ru-RU"/>
        </w:rPr>
        <w:t xml:space="preserve"> Одобрены Рабочей группой высокого уровня по выработке предложений по сближению позиций государств-членов ЕАЭС в рамках климатической повестки (Протокол от 22.12.2022 № 43-АС) с дополнениями, утвержденными Протоколом от 26.03.2025 № 10-АС</w:t>
      </w:r>
      <w:r>
        <w:rPr>
          <w:lang w:val="ru-RU"/>
        </w:rPr>
        <w:t xml:space="preserve">. </w:t>
      </w:r>
      <w:hyperlink r:id="rId1" w:history="1">
        <w:r w:rsidRPr="002C54B2">
          <w:rPr>
            <w:rStyle w:val="af"/>
          </w:rPr>
          <w:t>https://eec.eaeunion.org/upload/medialibrary/fbf/avdqxnky1ryap880n9fh90rg550y0gf4/Kriterii-dlya-opublikovaniya-_Modelnaya-taksonomiya_-17.04.pdf</w:t>
        </w:r>
      </w:hyperlink>
      <w:r w:rsidRPr="002C54B2">
        <w:t xml:space="preserve"> </w:t>
      </w:r>
    </w:p>
  </w:footnote>
  <w:footnote w:id="3">
    <w:p w14:paraId="49770111" w14:textId="56648BA4" w:rsidR="00172845" w:rsidRPr="002C54B2" w:rsidRDefault="00172845">
      <w:pPr>
        <w:pStyle w:val="ac"/>
      </w:pPr>
      <w:r>
        <w:rPr>
          <w:rStyle w:val="ae"/>
        </w:rPr>
        <w:footnoteRef/>
      </w:r>
      <w:r w:rsidRPr="00172845">
        <w:rPr>
          <w:lang w:val="ru-RU"/>
        </w:rPr>
        <w:t xml:space="preserve"> ПОЛИТИКА ЕВРАЗИЙСКОГО БАНКА РАЗВИТИЯ ПО ВЫПУСКУ «ЗЕЛЕНЫХ» И СОЦИАЛЬНЫХ ДОЛГОВЫХ ИНСТРУМЕНТОВ</w:t>
      </w:r>
      <w:r>
        <w:rPr>
          <w:lang w:val="ru-RU"/>
        </w:rPr>
        <w:t xml:space="preserve">, 2021. </w:t>
      </w:r>
      <w:hyperlink r:id="rId2" w:history="1">
        <w:r w:rsidRPr="002C54B2">
          <w:rPr>
            <w:rStyle w:val="af"/>
          </w:rPr>
          <w:t>https://eabr.org/upload/iblock/724/ESG-Bonds_04.10.2021_3_rus.cleaned.pdf</w:t>
        </w:r>
      </w:hyperlink>
      <w:r w:rsidRPr="002C54B2">
        <w:t xml:space="preserve"> </w:t>
      </w:r>
    </w:p>
  </w:footnote>
  <w:footnote w:id="4">
    <w:p w14:paraId="2AD4A077" w14:textId="7C49A475" w:rsidR="002E4627" w:rsidRPr="002C54B2" w:rsidRDefault="002E4627">
      <w:pPr>
        <w:pStyle w:val="ac"/>
      </w:pPr>
      <w:r>
        <w:rPr>
          <w:rStyle w:val="ae"/>
        </w:rPr>
        <w:footnoteRef/>
      </w:r>
      <w:r w:rsidRPr="002C54B2">
        <w:t xml:space="preserve"> </w:t>
      </w:r>
      <w:hyperlink r:id="rId3" w:history="1">
        <w:r w:rsidRPr="005D5300">
          <w:rPr>
            <w:rStyle w:val="af"/>
          </w:rPr>
          <w:t>https</w:t>
        </w:r>
        <w:r w:rsidRPr="002C54B2">
          <w:rPr>
            <w:rStyle w:val="af"/>
          </w:rPr>
          <w:t>://</w:t>
        </w:r>
        <w:r w:rsidRPr="005D5300">
          <w:rPr>
            <w:rStyle w:val="af"/>
          </w:rPr>
          <w:t>veb</w:t>
        </w:r>
        <w:r w:rsidRPr="002C54B2">
          <w:rPr>
            <w:rStyle w:val="af"/>
          </w:rPr>
          <w:t>.</w:t>
        </w:r>
        <w:r w:rsidRPr="005D5300">
          <w:rPr>
            <w:rStyle w:val="af"/>
          </w:rPr>
          <w:t>ru</w:t>
        </w:r>
        <w:r w:rsidRPr="002C54B2">
          <w:rPr>
            <w:rStyle w:val="af"/>
          </w:rPr>
          <w:t>/</w:t>
        </w:r>
        <w:r w:rsidRPr="005D5300">
          <w:rPr>
            <w:rStyle w:val="af"/>
          </w:rPr>
          <w:t>ustojchivoe</w:t>
        </w:r>
        <w:r w:rsidRPr="002C54B2">
          <w:rPr>
            <w:rStyle w:val="af"/>
          </w:rPr>
          <w:t>-</w:t>
        </w:r>
        <w:r w:rsidRPr="005D5300">
          <w:rPr>
            <w:rStyle w:val="af"/>
          </w:rPr>
          <w:t>razvitie</w:t>
        </w:r>
        <w:r w:rsidRPr="002C54B2">
          <w:rPr>
            <w:rStyle w:val="af"/>
          </w:rPr>
          <w:t>/</w:t>
        </w:r>
        <w:r w:rsidRPr="005D5300">
          <w:rPr>
            <w:rStyle w:val="af"/>
          </w:rPr>
          <w:t>zeljonoe</w:t>
        </w:r>
        <w:r w:rsidRPr="002C54B2">
          <w:rPr>
            <w:rStyle w:val="af"/>
          </w:rPr>
          <w:t>-</w:t>
        </w:r>
        <w:r w:rsidRPr="005D5300">
          <w:rPr>
            <w:rStyle w:val="af"/>
          </w:rPr>
          <w:t>finansirovanie</w:t>
        </w:r>
        <w:r w:rsidRPr="002C54B2">
          <w:rPr>
            <w:rStyle w:val="af"/>
          </w:rPr>
          <w:t>/</w:t>
        </w:r>
        <w:r w:rsidRPr="005D5300">
          <w:rPr>
            <w:rStyle w:val="af"/>
          </w:rPr>
          <w:t>metodologiya</w:t>
        </w:r>
        <w:r w:rsidRPr="002C54B2">
          <w:rPr>
            <w:rStyle w:val="af"/>
          </w:rPr>
          <w:t>/</w:t>
        </w:r>
      </w:hyperlink>
      <w:r w:rsidRPr="002C54B2">
        <w:t xml:space="preserve"> </w:t>
      </w:r>
    </w:p>
  </w:footnote>
  <w:footnote w:id="5">
    <w:p w14:paraId="34FB61E0" w14:textId="69CFF631" w:rsidR="002E4627" w:rsidRPr="002C54B2" w:rsidRDefault="002E4627">
      <w:pPr>
        <w:pStyle w:val="ac"/>
      </w:pPr>
      <w:r>
        <w:rPr>
          <w:rStyle w:val="ae"/>
        </w:rPr>
        <w:footnoteRef/>
      </w:r>
      <w:r w:rsidRPr="002C54B2">
        <w:t xml:space="preserve"> </w:t>
      </w:r>
      <w:hyperlink r:id="rId4" w:history="1">
        <w:r w:rsidRPr="005D5300">
          <w:rPr>
            <w:rStyle w:val="af"/>
          </w:rPr>
          <w:t>https</w:t>
        </w:r>
        <w:r w:rsidRPr="002C54B2">
          <w:rPr>
            <w:rStyle w:val="af"/>
          </w:rPr>
          <w:t>://</w:t>
        </w:r>
        <w:r w:rsidRPr="005D5300">
          <w:rPr>
            <w:rStyle w:val="af"/>
          </w:rPr>
          <w:t>adilet</w:t>
        </w:r>
        <w:r w:rsidRPr="002C54B2">
          <w:rPr>
            <w:rStyle w:val="af"/>
          </w:rPr>
          <w:t>.</w:t>
        </w:r>
        <w:r w:rsidRPr="005D5300">
          <w:rPr>
            <w:rStyle w:val="af"/>
          </w:rPr>
          <w:t>zan</w:t>
        </w:r>
        <w:r w:rsidRPr="002C54B2">
          <w:rPr>
            <w:rStyle w:val="af"/>
          </w:rPr>
          <w:t>.</w:t>
        </w:r>
        <w:r w:rsidRPr="005D5300">
          <w:rPr>
            <w:rStyle w:val="af"/>
          </w:rPr>
          <w:t>kz</w:t>
        </w:r>
        <w:r w:rsidRPr="002C54B2">
          <w:rPr>
            <w:rStyle w:val="af"/>
          </w:rPr>
          <w:t>/</w:t>
        </w:r>
        <w:r w:rsidRPr="005D5300">
          <w:rPr>
            <w:rStyle w:val="af"/>
          </w:rPr>
          <w:t>rus</w:t>
        </w:r>
        <w:r w:rsidRPr="002C54B2">
          <w:rPr>
            <w:rStyle w:val="af"/>
          </w:rPr>
          <w:t>/</w:t>
        </w:r>
        <w:r w:rsidRPr="005D5300">
          <w:rPr>
            <w:rStyle w:val="af"/>
          </w:rPr>
          <w:t>docs</w:t>
        </w:r>
        <w:r w:rsidRPr="002C54B2">
          <w:rPr>
            <w:rStyle w:val="af"/>
          </w:rPr>
          <w:t>/</w:t>
        </w:r>
        <w:r w:rsidRPr="005D5300">
          <w:rPr>
            <w:rStyle w:val="af"/>
          </w:rPr>
          <w:t>P</w:t>
        </w:r>
        <w:r w:rsidRPr="002C54B2">
          <w:rPr>
            <w:rStyle w:val="af"/>
          </w:rPr>
          <w:t>2100000996</w:t>
        </w:r>
      </w:hyperlink>
      <w:r w:rsidRPr="002C54B2">
        <w:t xml:space="preserve"> </w:t>
      </w:r>
    </w:p>
  </w:footnote>
  <w:footnote w:id="6">
    <w:p w14:paraId="5DAEDF4B" w14:textId="74C28C2D" w:rsidR="00EF28CE" w:rsidRPr="002C54B2" w:rsidRDefault="00EF28CE">
      <w:pPr>
        <w:pStyle w:val="ac"/>
      </w:pPr>
      <w:r>
        <w:rPr>
          <w:rStyle w:val="ae"/>
        </w:rPr>
        <w:footnoteRef/>
      </w:r>
      <w:r w:rsidRPr="002C54B2">
        <w:t xml:space="preserve"> </w:t>
      </w:r>
      <w:hyperlink r:id="rId5" w:history="1">
        <w:r w:rsidRPr="005D5300">
          <w:rPr>
            <w:rStyle w:val="af"/>
          </w:rPr>
          <w:t>https</w:t>
        </w:r>
        <w:r w:rsidRPr="002C54B2">
          <w:rPr>
            <w:rStyle w:val="af"/>
          </w:rPr>
          <w:t>://</w:t>
        </w:r>
        <w:r w:rsidRPr="005D5300">
          <w:rPr>
            <w:rStyle w:val="af"/>
          </w:rPr>
          <w:t>finance</w:t>
        </w:r>
        <w:r w:rsidRPr="002C54B2">
          <w:rPr>
            <w:rStyle w:val="af"/>
          </w:rPr>
          <w:t>.</w:t>
        </w:r>
        <w:r w:rsidRPr="005D5300">
          <w:rPr>
            <w:rStyle w:val="af"/>
          </w:rPr>
          <w:t>ec</w:t>
        </w:r>
        <w:r w:rsidRPr="002C54B2">
          <w:rPr>
            <w:rStyle w:val="af"/>
          </w:rPr>
          <w:t>.</w:t>
        </w:r>
        <w:r w:rsidRPr="005D5300">
          <w:rPr>
            <w:rStyle w:val="af"/>
          </w:rPr>
          <w:t>europa</w:t>
        </w:r>
        <w:r w:rsidRPr="002C54B2">
          <w:rPr>
            <w:rStyle w:val="af"/>
          </w:rPr>
          <w:t>.</w:t>
        </w:r>
        <w:r w:rsidRPr="005D5300">
          <w:rPr>
            <w:rStyle w:val="af"/>
          </w:rPr>
          <w:t>eu</w:t>
        </w:r>
        <w:r w:rsidRPr="002C54B2">
          <w:rPr>
            <w:rStyle w:val="af"/>
          </w:rPr>
          <w:t>/</w:t>
        </w:r>
        <w:r w:rsidRPr="005D5300">
          <w:rPr>
            <w:rStyle w:val="af"/>
          </w:rPr>
          <w:t>sustainable</w:t>
        </w:r>
        <w:r w:rsidRPr="002C54B2">
          <w:rPr>
            <w:rStyle w:val="af"/>
          </w:rPr>
          <w:t>-</w:t>
        </w:r>
        <w:r w:rsidRPr="005D5300">
          <w:rPr>
            <w:rStyle w:val="af"/>
          </w:rPr>
          <w:t>finance</w:t>
        </w:r>
        <w:r w:rsidRPr="002C54B2">
          <w:rPr>
            <w:rStyle w:val="af"/>
          </w:rPr>
          <w:t>/</w:t>
        </w:r>
        <w:r w:rsidRPr="005D5300">
          <w:rPr>
            <w:rStyle w:val="af"/>
          </w:rPr>
          <w:t>tools</w:t>
        </w:r>
        <w:r w:rsidRPr="002C54B2">
          <w:rPr>
            <w:rStyle w:val="af"/>
          </w:rPr>
          <w:t>-</w:t>
        </w:r>
        <w:r w:rsidRPr="005D5300">
          <w:rPr>
            <w:rStyle w:val="af"/>
          </w:rPr>
          <w:t>and</w:t>
        </w:r>
        <w:r w:rsidRPr="002C54B2">
          <w:rPr>
            <w:rStyle w:val="af"/>
          </w:rPr>
          <w:t>-</w:t>
        </w:r>
        <w:r w:rsidRPr="005D5300">
          <w:rPr>
            <w:rStyle w:val="af"/>
          </w:rPr>
          <w:t>standards</w:t>
        </w:r>
        <w:r w:rsidRPr="002C54B2">
          <w:rPr>
            <w:rStyle w:val="af"/>
          </w:rPr>
          <w:t>/</w:t>
        </w:r>
        <w:r w:rsidRPr="005D5300">
          <w:rPr>
            <w:rStyle w:val="af"/>
          </w:rPr>
          <w:t>eu</w:t>
        </w:r>
        <w:r w:rsidRPr="002C54B2">
          <w:rPr>
            <w:rStyle w:val="af"/>
          </w:rPr>
          <w:t>-</w:t>
        </w:r>
        <w:r w:rsidRPr="005D5300">
          <w:rPr>
            <w:rStyle w:val="af"/>
          </w:rPr>
          <w:t>taxonomy</w:t>
        </w:r>
        <w:r w:rsidRPr="002C54B2">
          <w:rPr>
            <w:rStyle w:val="af"/>
          </w:rPr>
          <w:t>-</w:t>
        </w:r>
        <w:r w:rsidRPr="005D5300">
          <w:rPr>
            <w:rStyle w:val="af"/>
          </w:rPr>
          <w:t>sustainable</w:t>
        </w:r>
        <w:r w:rsidRPr="002C54B2">
          <w:rPr>
            <w:rStyle w:val="af"/>
          </w:rPr>
          <w:t>-</w:t>
        </w:r>
        <w:r w:rsidRPr="005D5300">
          <w:rPr>
            <w:rStyle w:val="af"/>
          </w:rPr>
          <w:t>activities</w:t>
        </w:r>
        <w:r w:rsidRPr="002C54B2">
          <w:rPr>
            <w:rStyle w:val="af"/>
          </w:rPr>
          <w:t>_</w:t>
        </w:r>
        <w:r w:rsidRPr="005D5300">
          <w:rPr>
            <w:rStyle w:val="af"/>
          </w:rPr>
          <w:t>en</w:t>
        </w:r>
      </w:hyperlink>
      <w:r w:rsidRPr="002C54B2">
        <w:t xml:space="preserve"> </w:t>
      </w:r>
    </w:p>
  </w:footnote>
  <w:footnote w:id="7">
    <w:p w14:paraId="5313C9D8" w14:textId="41290BEA" w:rsidR="00EF28CE" w:rsidRPr="002C54B2" w:rsidRDefault="00EF28CE">
      <w:pPr>
        <w:pStyle w:val="ac"/>
      </w:pPr>
      <w:r>
        <w:rPr>
          <w:rStyle w:val="ae"/>
        </w:rPr>
        <w:footnoteRef/>
      </w:r>
      <w:r w:rsidRPr="002C54B2">
        <w:t xml:space="preserve"> </w:t>
      </w:r>
      <w:hyperlink r:id="rId6" w:history="1">
        <w:r w:rsidRPr="005D5300">
          <w:rPr>
            <w:rStyle w:val="af"/>
          </w:rPr>
          <w:t>https</w:t>
        </w:r>
        <w:r w:rsidRPr="002C54B2">
          <w:rPr>
            <w:rStyle w:val="af"/>
          </w:rPr>
          <w:t>://</w:t>
        </w:r>
        <w:r w:rsidRPr="005D5300">
          <w:rPr>
            <w:rStyle w:val="af"/>
          </w:rPr>
          <w:t>www</w:t>
        </w:r>
        <w:r w:rsidRPr="002C54B2">
          <w:rPr>
            <w:rStyle w:val="af"/>
          </w:rPr>
          <w:t>.</w:t>
        </w:r>
        <w:r w:rsidRPr="005D5300">
          <w:rPr>
            <w:rStyle w:val="af"/>
          </w:rPr>
          <w:t>icmagroup</w:t>
        </w:r>
        <w:r w:rsidRPr="002C54B2">
          <w:rPr>
            <w:rStyle w:val="af"/>
          </w:rPr>
          <w:t>.</w:t>
        </w:r>
        <w:r w:rsidRPr="005D5300">
          <w:rPr>
            <w:rStyle w:val="af"/>
          </w:rPr>
          <w:t>org</w:t>
        </w:r>
        <w:r w:rsidRPr="002C54B2">
          <w:rPr>
            <w:rStyle w:val="af"/>
          </w:rPr>
          <w:t>/</w:t>
        </w:r>
        <w:r w:rsidRPr="005D5300">
          <w:rPr>
            <w:rStyle w:val="af"/>
          </w:rPr>
          <w:t>sustainable</w:t>
        </w:r>
        <w:r w:rsidRPr="002C54B2">
          <w:rPr>
            <w:rStyle w:val="af"/>
          </w:rPr>
          <w:t>-</w:t>
        </w:r>
        <w:r w:rsidRPr="005D5300">
          <w:rPr>
            <w:rStyle w:val="af"/>
          </w:rPr>
          <w:t>finance</w:t>
        </w:r>
        <w:r w:rsidRPr="002C54B2">
          <w:rPr>
            <w:rStyle w:val="af"/>
          </w:rPr>
          <w:t>/</w:t>
        </w:r>
        <w:r w:rsidRPr="005D5300">
          <w:rPr>
            <w:rStyle w:val="af"/>
          </w:rPr>
          <w:t>the</w:t>
        </w:r>
        <w:r w:rsidRPr="002C54B2">
          <w:rPr>
            <w:rStyle w:val="af"/>
          </w:rPr>
          <w:t>-</w:t>
        </w:r>
        <w:r w:rsidRPr="005D5300">
          <w:rPr>
            <w:rStyle w:val="af"/>
          </w:rPr>
          <w:t>principles</w:t>
        </w:r>
        <w:r w:rsidRPr="002C54B2">
          <w:rPr>
            <w:rStyle w:val="af"/>
          </w:rPr>
          <w:t>-</w:t>
        </w:r>
        <w:r w:rsidRPr="005D5300">
          <w:rPr>
            <w:rStyle w:val="af"/>
          </w:rPr>
          <w:t>guidelines</w:t>
        </w:r>
        <w:r w:rsidRPr="002C54B2">
          <w:rPr>
            <w:rStyle w:val="af"/>
          </w:rPr>
          <w:t>-</w:t>
        </w:r>
        <w:r w:rsidRPr="005D5300">
          <w:rPr>
            <w:rStyle w:val="af"/>
          </w:rPr>
          <w:t>and</w:t>
        </w:r>
        <w:r w:rsidRPr="002C54B2">
          <w:rPr>
            <w:rStyle w:val="af"/>
          </w:rPr>
          <w:t>-</w:t>
        </w:r>
        <w:r w:rsidRPr="005D5300">
          <w:rPr>
            <w:rStyle w:val="af"/>
          </w:rPr>
          <w:t>handbooks</w:t>
        </w:r>
        <w:r w:rsidRPr="002C54B2">
          <w:rPr>
            <w:rStyle w:val="af"/>
          </w:rPr>
          <w:t>/</w:t>
        </w:r>
        <w:r w:rsidRPr="005D5300">
          <w:rPr>
            <w:rStyle w:val="af"/>
          </w:rPr>
          <w:t>green</w:t>
        </w:r>
        <w:r w:rsidRPr="002C54B2">
          <w:rPr>
            <w:rStyle w:val="af"/>
          </w:rPr>
          <w:t>-</w:t>
        </w:r>
        <w:r w:rsidRPr="005D5300">
          <w:rPr>
            <w:rStyle w:val="af"/>
          </w:rPr>
          <w:t>bond</w:t>
        </w:r>
        <w:r w:rsidRPr="002C54B2">
          <w:rPr>
            <w:rStyle w:val="af"/>
          </w:rPr>
          <w:t>-</w:t>
        </w:r>
        <w:r w:rsidRPr="005D5300">
          <w:rPr>
            <w:rStyle w:val="af"/>
          </w:rPr>
          <w:t>principles</w:t>
        </w:r>
        <w:r w:rsidRPr="002C54B2">
          <w:rPr>
            <w:rStyle w:val="af"/>
          </w:rPr>
          <w:t>-</w:t>
        </w:r>
        <w:r w:rsidRPr="005D5300">
          <w:rPr>
            <w:rStyle w:val="af"/>
          </w:rPr>
          <w:t>gbp</w:t>
        </w:r>
        <w:r w:rsidRPr="002C54B2">
          <w:rPr>
            <w:rStyle w:val="af"/>
          </w:rPr>
          <w:t>/</w:t>
        </w:r>
      </w:hyperlink>
      <w:r w:rsidRPr="002C54B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6D8B"/>
    <w:multiLevelType w:val="hybridMultilevel"/>
    <w:tmpl w:val="9CC6F79E"/>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3C65D1"/>
    <w:multiLevelType w:val="hybridMultilevel"/>
    <w:tmpl w:val="B4523220"/>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7B6493"/>
    <w:multiLevelType w:val="hybridMultilevel"/>
    <w:tmpl w:val="696E0A9E"/>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641571"/>
    <w:multiLevelType w:val="hybridMultilevel"/>
    <w:tmpl w:val="7BBA1C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E01A3F"/>
    <w:multiLevelType w:val="hybridMultilevel"/>
    <w:tmpl w:val="31C2391A"/>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295FB0"/>
    <w:multiLevelType w:val="hybridMultilevel"/>
    <w:tmpl w:val="68C02B5A"/>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A8634C"/>
    <w:multiLevelType w:val="hybridMultilevel"/>
    <w:tmpl w:val="8A069316"/>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352339"/>
    <w:multiLevelType w:val="hybridMultilevel"/>
    <w:tmpl w:val="F3C44774"/>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3C4EFA"/>
    <w:multiLevelType w:val="hybridMultilevel"/>
    <w:tmpl w:val="44886CB8"/>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2B7857"/>
    <w:multiLevelType w:val="hybridMultilevel"/>
    <w:tmpl w:val="CE6EDE8E"/>
    <w:lvl w:ilvl="0" w:tplc="3BA82E4C">
      <w:start w:val="1"/>
      <w:numFmt w:val="bullet"/>
      <w:lvlText w:val=""/>
      <w:lvlJc w:val="left"/>
      <w:pPr>
        <w:ind w:left="360" w:hanging="360"/>
      </w:pPr>
      <w:rPr>
        <w:rFonts w:ascii="Symbol" w:hAnsi="Symbol" w:hint="default"/>
        <w:lang w:val="ru-RU"/>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7C757A92"/>
    <w:multiLevelType w:val="multilevel"/>
    <w:tmpl w:val="F9280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0"/>
  </w:num>
  <w:num w:numId="4">
    <w:abstractNumId w:val="7"/>
  </w:num>
  <w:num w:numId="5">
    <w:abstractNumId w:val="2"/>
  </w:num>
  <w:num w:numId="6">
    <w:abstractNumId w:val="5"/>
  </w:num>
  <w:num w:numId="7">
    <w:abstractNumId w:val="1"/>
  </w:num>
  <w:num w:numId="8">
    <w:abstractNumId w:val="4"/>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95A"/>
    <w:rsid w:val="00065AA5"/>
    <w:rsid w:val="001231ED"/>
    <w:rsid w:val="00124F4C"/>
    <w:rsid w:val="00172845"/>
    <w:rsid w:val="0017512E"/>
    <w:rsid w:val="001C045B"/>
    <w:rsid w:val="0022434C"/>
    <w:rsid w:val="00244E99"/>
    <w:rsid w:val="002803EE"/>
    <w:rsid w:val="00282C4C"/>
    <w:rsid w:val="002C54B2"/>
    <w:rsid w:val="002E4627"/>
    <w:rsid w:val="002F6961"/>
    <w:rsid w:val="00375113"/>
    <w:rsid w:val="003D536A"/>
    <w:rsid w:val="003D5A84"/>
    <w:rsid w:val="003F3804"/>
    <w:rsid w:val="004453A7"/>
    <w:rsid w:val="004500BD"/>
    <w:rsid w:val="00491D28"/>
    <w:rsid w:val="00531ECA"/>
    <w:rsid w:val="005B1318"/>
    <w:rsid w:val="005C3A7E"/>
    <w:rsid w:val="005D331B"/>
    <w:rsid w:val="00652D0C"/>
    <w:rsid w:val="006E299B"/>
    <w:rsid w:val="00705975"/>
    <w:rsid w:val="00714A04"/>
    <w:rsid w:val="007441A8"/>
    <w:rsid w:val="00761AE4"/>
    <w:rsid w:val="00783B9F"/>
    <w:rsid w:val="007E2E72"/>
    <w:rsid w:val="008E3EB2"/>
    <w:rsid w:val="008E5F58"/>
    <w:rsid w:val="009130C9"/>
    <w:rsid w:val="00926BF6"/>
    <w:rsid w:val="009315E9"/>
    <w:rsid w:val="00975E74"/>
    <w:rsid w:val="0099147B"/>
    <w:rsid w:val="009A16F8"/>
    <w:rsid w:val="009E6D4B"/>
    <w:rsid w:val="00A37B2E"/>
    <w:rsid w:val="00A43F00"/>
    <w:rsid w:val="00A50C32"/>
    <w:rsid w:val="00A56541"/>
    <w:rsid w:val="00A568BA"/>
    <w:rsid w:val="00B07638"/>
    <w:rsid w:val="00B12684"/>
    <w:rsid w:val="00B4653C"/>
    <w:rsid w:val="00B6653C"/>
    <w:rsid w:val="00B7095A"/>
    <w:rsid w:val="00B74CCE"/>
    <w:rsid w:val="00B945AF"/>
    <w:rsid w:val="00C022E7"/>
    <w:rsid w:val="00C174EE"/>
    <w:rsid w:val="00C262AE"/>
    <w:rsid w:val="00C75F52"/>
    <w:rsid w:val="00CA70E1"/>
    <w:rsid w:val="00CB4273"/>
    <w:rsid w:val="00CB5321"/>
    <w:rsid w:val="00D03829"/>
    <w:rsid w:val="00D20BBF"/>
    <w:rsid w:val="00D53A1A"/>
    <w:rsid w:val="00DB5D2F"/>
    <w:rsid w:val="00E46FE8"/>
    <w:rsid w:val="00EB2CF4"/>
    <w:rsid w:val="00EF28CE"/>
    <w:rsid w:val="00F5636F"/>
    <w:rsid w:val="00F817F1"/>
    <w:rsid w:val="00F86797"/>
    <w:rsid w:val="00F918A6"/>
    <w:rsid w:val="00F920BC"/>
    <w:rsid w:val="00FE485D"/>
    <w:rsid w:val="00FE48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D38D"/>
  <w15:chartTrackingRefBased/>
  <w15:docId w15:val="{6D6EDA2B-3A82-4270-8343-A4FE88C4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3A7"/>
  </w:style>
  <w:style w:type="paragraph" w:styleId="1">
    <w:name w:val="heading 1"/>
    <w:basedOn w:val="a"/>
    <w:next w:val="a"/>
    <w:link w:val="10"/>
    <w:uiPriority w:val="9"/>
    <w:qFormat/>
    <w:rsid w:val="00B70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70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709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709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709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709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709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709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709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095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7095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7095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7095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7095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709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095A"/>
    <w:rPr>
      <w:rFonts w:eastAsiaTheme="majorEastAsia" w:cstheme="majorBidi"/>
      <w:color w:val="595959" w:themeColor="text1" w:themeTint="A6"/>
    </w:rPr>
  </w:style>
  <w:style w:type="character" w:customStyle="1" w:styleId="80">
    <w:name w:val="Заголовок 8 Знак"/>
    <w:basedOn w:val="a0"/>
    <w:link w:val="8"/>
    <w:uiPriority w:val="9"/>
    <w:semiHidden/>
    <w:rsid w:val="00B709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095A"/>
    <w:rPr>
      <w:rFonts w:eastAsiaTheme="majorEastAsia" w:cstheme="majorBidi"/>
      <w:color w:val="272727" w:themeColor="text1" w:themeTint="D8"/>
    </w:rPr>
  </w:style>
  <w:style w:type="paragraph" w:styleId="a3">
    <w:name w:val="Title"/>
    <w:basedOn w:val="a"/>
    <w:next w:val="a"/>
    <w:link w:val="a4"/>
    <w:uiPriority w:val="10"/>
    <w:qFormat/>
    <w:rsid w:val="00B70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709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95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709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095A"/>
    <w:pPr>
      <w:spacing w:before="160"/>
      <w:jc w:val="center"/>
    </w:pPr>
    <w:rPr>
      <w:i/>
      <w:iCs/>
      <w:color w:val="404040" w:themeColor="text1" w:themeTint="BF"/>
    </w:rPr>
  </w:style>
  <w:style w:type="character" w:customStyle="1" w:styleId="22">
    <w:name w:val="Цитата 2 Знак"/>
    <w:basedOn w:val="a0"/>
    <w:link w:val="21"/>
    <w:uiPriority w:val="29"/>
    <w:rsid w:val="00B7095A"/>
    <w:rPr>
      <w:i/>
      <w:iCs/>
      <w:color w:val="404040" w:themeColor="text1" w:themeTint="BF"/>
    </w:rPr>
  </w:style>
  <w:style w:type="paragraph" w:styleId="a7">
    <w:name w:val="List Paragraph"/>
    <w:basedOn w:val="a"/>
    <w:uiPriority w:val="34"/>
    <w:qFormat/>
    <w:rsid w:val="00B7095A"/>
    <w:pPr>
      <w:ind w:left="720"/>
      <w:contextualSpacing/>
    </w:pPr>
  </w:style>
  <w:style w:type="character" w:styleId="a8">
    <w:name w:val="Intense Emphasis"/>
    <w:basedOn w:val="a0"/>
    <w:uiPriority w:val="21"/>
    <w:qFormat/>
    <w:rsid w:val="00B7095A"/>
    <w:rPr>
      <w:i/>
      <w:iCs/>
      <w:color w:val="0F4761" w:themeColor="accent1" w:themeShade="BF"/>
    </w:rPr>
  </w:style>
  <w:style w:type="paragraph" w:styleId="a9">
    <w:name w:val="Intense Quote"/>
    <w:basedOn w:val="a"/>
    <w:next w:val="a"/>
    <w:link w:val="aa"/>
    <w:uiPriority w:val="30"/>
    <w:qFormat/>
    <w:rsid w:val="00B70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7095A"/>
    <w:rPr>
      <w:i/>
      <w:iCs/>
      <w:color w:val="0F4761" w:themeColor="accent1" w:themeShade="BF"/>
    </w:rPr>
  </w:style>
  <w:style w:type="character" w:styleId="ab">
    <w:name w:val="Intense Reference"/>
    <w:basedOn w:val="a0"/>
    <w:uiPriority w:val="32"/>
    <w:qFormat/>
    <w:rsid w:val="00B7095A"/>
    <w:rPr>
      <w:b/>
      <w:bCs/>
      <w:smallCaps/>
      <w:color w:val="0F4761" w:themeColor="accent1" w:themeShade="BF"/>
      <w:spacing w:val="5"/>
    </w:rPr>
  </w:style>
  <w:style w:type="paragraph" w:styleId="ac">
    <w:name w:val="footnote text"/>
    <w:basedOn w:val="a"/>
    <w:link w:val="ad"/>
    <w:uiPriority w:val="99"/>
    <w:semiHidden/>
    <w:unhideWhenUsed/>
    <w:rsid w:val="00172845"/>
    <w:pPr>
      <w:spacing w:after="0" w:line="240" w:lineRule="auto"/>
    </w:pPr>
    <w:rPr>
      <w:sz w:val="20"/>
      <w:szCs w:val="20"/>
    </w:rPr>
  </w:style>
  <w:style w:type="character" w:customStyle="1" w:styleId="ad">
    <w:name w:val="Текст сноски Знак"/>
    <w:basedOn w:val="a0"/>
    <w:link w:val="ac"/>
    <w:uiPriority w:val="99"/>
    <w:semiHidden/>
    <w:rsid w:val="00172845"/>
    <w:rPr>
      <w:sz w:val="20"/>
      <w:szCs w:val="20"/>
    </w:rPr>
  </w:style>
  <w:style w:type="character" w:styleId="ae">
    <w:name w:val="footnote reference"/>
    <w:basedOn w:val="a0"/>
    <w:uiPriority w:val="99"/>
    <w:semiHidden/>
    <w:unhideWhenUsed/>
    <w:rsid w:val="00172845"/>
    <w:rPr>
      <w:vertAlign w:val="superscript"/>
    </w:rPr>
  </w:style>
  <w:style w:type="character" w:styleId="af">
    <w:name w:val="Hyperlink"/>
    <w:basedOn w:val="a0"/>
    <w:uiPriority w:val="99"/>
    <w:unhideWhenUsed/>
    <w:rsid w:val="00172845"/>
    <w:rPr>
      <w:color w:val="467886" w:themeColor="hyperlink"/>
      <w:u w:val="single"/>
    </w:rPr>
  </w:style>
  <w:style w:type="character" w:customStyle="1" w:styleId="11">
    <w:name w:val="Неразрешенное упоминание1"/>
    <w:basedOn w:val="a0"/>
    <w:uiPriority w:val="99"/>
    <w:semiHidden/>
    <w:unhideWhenUsed/>
    <w:rsid w:val="00172845"/>
    <w:rPr>
      <w:color w:val="605E5C"/>
      <w:shd w:val="clear" w:color="auto" w:fill="E1DFDD"/>
    </w:rPr>
  </w:style>
  <w:style w:type="paragraph" w:styleId="af0">
    <w:name w:val="No Spacing"/>
    <w:link w:val="af1"/>
    <w:uiPriority w:val="1"/>
    <w:qFormat/>
    <w:rsid w:val="00926BF6"/>
    <w:pPr>
      <w:spacing w:after="0" w:line="240" w:lineRule="auto"/>
    </w:pPr>
    <w:rPr>
      <w:rFonts w:eastAsiaTheme="minorEastAsia"/>
      <w:kern w:val="0"/>
      <w:sz w:val="22"/>
      <w:szCs w:val="22"/>
      <w:lang w:eastAsia="fr-FR"/>
      <w14:ligatures w14:val="none"/>
    </w:rPr>
  </w:style>
  <w:style w:type="character" w:customStyle="1" w:styleId="af1">
    <w:name w:val="Без интервала Знак"/>
    <w:basedOn w:val="a0"/>
    <w:link w:val="af0"/>
    <w:uiPriority w:val="1"/>
    <w:rsid w:val="00926BF6"/>
    <w:rPr>
      <w:rFonts w:eastAsiaTheme="minorEastAsia"/>
      <w:kern w:val="0"/>
      <w:sz w:val="22"/>
      <w:szCs w:val="22"/>
      <w:lang w:eastAsia="fr-FR"/>
      <w14:ligatures w14:val="none"/>
    </w:rPr>
  </w:style>
  <w:style w:type="paragraph" w:styleId="af2">
    <w:name w:val="TOC Heading"/>
    <w:basedOn w:val="1"/>
    <w:next w:val="a"/>
    <w:uiPriority w:val="39"/>
    <w:unhideWhenUsed/>
    <w:qFormat/>
    <w:rsid w:val="00926BF6"/>
    <w:pPr>
      <w:spacing w:before="240" w:after="0" w:line="259" w:lineRule="auto"/>
      <w:outlineLvl w:val="9"/>
    </w:pPr>
    <w:rPr>
      <w:kern w:val="0"/>
      <w:sz w:val="32"/>
      <w:szCs w:val="32"/>
      <w:lang w:eastAsia="fr-FR"/>
      <w14:ligatures w14:val="none"/>
    </w:rPr>
  </w:style>
  <w:style w:type="paragraph" w:styleId="12">
    <w:name w:val="toc 1"/>
    <w:basedOn w:val="a"/>
    <w:next w:val="a"/>
    <w:autoRedefine/>
    <w:uiPriority w:val="39"/>
    <w:unhideWhenUsed/>
    <w:rsid w:val="00926BF6"/>
    <w:pPr>
      <w:spacing w:after="100"/>
    </w:pPr>
  </w:style>
  <w:style w:type="paragraph" w:styleId="23">
    <w:name w:val="toc 2"/>
    <w:basedOn w:val="a"/>
    <w:next w:val="a"/>
    <w:autoRedefine/>
    <w:uiPriority w:val="39"/>
    <w:unhideWhenUsed/>
    <w:rsid w:val="005B1318"/>
    <w:pPr>
      <w:spacing w:after="100"/>
      <w:ind w:left="240"/>
    </w:pPr>
  </w:style>
  <w:style w:type="paragraph" w:customStyle="1" w:styleId="s16">
    <w:name w:val="s_16"/>
    <w:basedOn w:val="a"/>
    <w:rsid w:val="00C75F52"/>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af3">
    <w:name w:val="FollowedHyperlink"/>
    <w:basedOn w:val="a0"/>
    <w:uiPriority w:val="99"/>
    <w:semiHidden/>
    <w:unhideWhenUsed/>
    <w:rsid w:val="00A568BA"/>
    <w:rPr>
      <w:color w:val="96607D" w:themeColor="followedHyperlink"/>
      <w:u w:val="single"/>
    </w:rPr>
  </w:style>
  <w:style w:type="paragraph" w:styleId="af4">
    <w:name w:val="header"/>
    <w:basedOn w:val="a"/>
    <w:link w:val="af5"/>
    <w:uiPriority w:val="99"/>
    <w:unhideWhenUsed/>
    <w:rsid w:val="005D331B"/>
    <w:pPr>
      <w:tabs>
        <w:tab w:val="center" w:pos="4536"/>
        <w:tab w:val="right" w:pos="9072"/>
      </w:tabs>
      <w:spacing w:after="0" w:line="240" w:lineRule="auto"/>
    </w:pPr>
  </w:style>
  <w:style w:type="character" w:customStyle="1" w:styleId="af5">
    <w:name w:val="Верхний колонтитул Знак"/>
    <w:basedOn w:val="a0"/>
    <w:link w:val="af4"/>
    <w:uiPriority w:val="99"/>
    <w:rsid w:val="005D331B"/>
  </w:style>
  <w:style w:type="paragraph" w:styleId="af6">
    <w:name w:val="footer"/>
    <w:basedOn w:val="a"/>
    <w:link w:val="af7"/>
    <w:uiPriority w:val="99"/>
    <w:unhideWhenUsed/>
    <w:rsid w:val="005D331B"/>
    <w:pPr>
      <w:tabs>
        <w:tab w:val="center" w:pos="4536"/>
        <w:tab w:val="right" w:pos="9072"/>
      </w:tabs>
      <w:spacing w:after="0" w:line="240" w:lineRule="auto"/>
    </w:pPr>
  </w:style>
  <w:style w:type="character" w:customStyle="1" w:styleId="af7">
    <w:name w:val="Нижний колонтитул Знак"/>
    <w:basedOn w:val="a0"/>
    <w:link w:val="af6"/>
    <w:uiPriority w:val="99"/>
    <w:rsid w:val="005D3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05884">
      <w:bodyDiv w:val="1"/>
      <w:marLeft w:val="0"/>
      <w:marRight w:val="0"/>
      <w:marTop w:val="0"/>
      <w:marBottom w:val="0"/>
      <w:divBdr>
        <w:top w:val="none" w:sz="0" w:space="0" w:color="auto"/>
        <w:left w:val="none" w:sz="0" w:space="0" w:color="auto"/>
        <w:bottom w:val="none" w:sz="0" w:space="0" w:color="auto"/>
        <w:right w:val="none" w:sz="0" w:space="0" w:color="auto"/>
      </w:divBdr>
    </w:div>
    <w:div w:id="214044867">
      <w:bodyDiv w:val="1"/>
      <w:marLeft w:val="0"/>
      <w:marRight w:val="0"/>
      <w:marTop w:val="0"/>
      <w:marBottom w:val="0"/>
      <w:divBdr>
        <w:top w:val="none" w:sz="0" w:space="0" w:color="auto"/>
        <w:left w:val="none" w:sz="0" w:space="0" w:color="auto"/>
        <w:bottom w:val="none" w:sz="0" w:space="0" w:color="auto"/>
        <w:right w:val="none" w:sz="0" w:space="0" w:color="auto"/>
      </w:divBdr>
    </w:div>
    <w:div w:id="317616466">
      <w:bodyDiv w:val="1"/>
      <w:marLeft w:val="0"/>
      <w:marRight w:val="0"/>
      <w:marTop w:val="0"/>
      <w:marBottom w:val="0"/>
      <w:divBdr>
        <w:top w:val="none" w:sz="0" w:space="0" w:color="auto"/>
        <w:left w:val="none" w:sz="0" w:space="0" w:color="auto"/>
        <w:bottom w:val="none" w:sz="0" w:space="0" w:color="auto"/>
        <w:right w:val="none" w:sz="0" w:space="0" w:color="auto"/>
      </w:divBdr>
    </w:div>
    <w:div w:id="353918742">
      <w:bodyDiv w:val="1"/>
      <w:marLeft w:val="0"/>
      <w:marRight w:val="0"/>
      <w:marTop w:val="0"/>
      <w:marBottom w:val="0"/>
      <w:divBdr>
        <w:top w:val="none" w:sz="0" w:space="0" w:color="auto"/>
        <w:left w:val="none" w:sz="0" w:space="0" w:color="auto"/>
        <w:bottom w:val="none" w:sz="0" w:space="0" w:color="auto"/>
        <w:right w:val="none" w:sz="0" w:space="0" w:color="auto"/>
      </w:divBdr>
    </w:div>
    <w:div w:id="414977795">
      <w:bodyDiv w:val="1"/>
      <w:marLeft w:val="0"/>
      <w:marRight w:val="0"/>
      <w:marTop w:val="0"/>
      <w:marBottom w:val="0"/>
      <w:divBdr>
        <w:top w:val="none" w:sz="0" w:space="0" w:color="auto"/>
        <w:left w:val="none" w:sz="0" w:space="0" w:color="auto"/>
        <w:bottom w:val="none" w:sz="0" w:space="0" w:color="auto"/>
        <w:right w:val="none" w:sz="0" w:space="0" w:color="auto"/>
      </w:divBdr>
    </w:div>
    <w:div w:id="523904459">
      <w:bodyDiv w:val="1"/>
      <w:marLeft w:val="0"/>
      <w:marRight w:val="0"/>
      <w:marTop w:val="0"/>
      <w:marBottom w:val="0"/>
      <w:divBdr>
        <w:top w:val="none" w:sz="0" w:space="0" w:color="auto"/>
        <w:left w:val="none" w:sz="0" w:space="0" w:color="auto"/>
        <w:bottom w:val="none" w:sz="0" w:space="0" w:color="auto"/>
        <w:right w:val="none" w:sz="0" w:space="0" w:color="auto"/>
      </w:divBdr>
    </w:div>
    <w:div w:id="536238640">
      <w:bodyDiv w:val="1"/>
      <w:marLeft w:val="0"/>
      <w:marRight w:val="0"/>
      <w:marTop w:val="0"/>
      <w:marBottom w:val="0"/>
      <w:divBdr>
        <w:top w:val="none" w:sz="0" w:space="0" w:color="auto"/>
        <w:left w:val="none" w:sz="0" w:space="0" w:color="auto"/>
        <w:bottom w:val="none" w:sz="0" w:space="0" w:color="auto"/>
        <w:right w:val="none" w:sz="0" w:space="0" w:color="auto"/>
      </w:divBdr>
      <w:divsChild>
        <w:div w:id="339697374">
          <w:marLeft w:val="0"/>
          <w:marRight w:val="0"/>
          <w:marTop w:val="0"/>
          <w:marBottom w:val="0"/>
          <w:divBdr>
            <w:top w:val="none" w:sz="0" w:space="0" w:color="auto"/>
            <w:left w:val="none" w:sz="0" w:space="0" w:color="auto"/>
            <w:bottom w:val="none" w:sz="0" w:space="0" w:color="auto"/>
            <w:right w:val="none" w:sz="0" w:space="0" w:color="auto"/>
          </w:divBdr>
        </w:div>
      </w:divsChild>
    </w:div>
    <w:div w:id="564492887">
      <w:bodyDiv w:val="1"/>
      <w:marLeft w:val="0"/>
      <w:marRight w:val="0"/>
      <w:marTop w:val="0"/>
      <w:marBottom w:val="0"/>
      <w:divBdr>
        <w:top w:val="none" w:sz="0" w:space="0" w:color="auto"/>
        <w:left w:val="none" w:sz="0" w:space="0" w:color="auto"/>
        <w:bottom w:val="none" w:sz="0" w:space="0" w:color="auto"/>
        <w:right w:val="none" w:sz="0" w:space="0" w:color="auto"/>
      </w:divBdr>
    </w:div>
    <w:div w:id="781802213">
      <w:bodyDiv w:val="1"/>
      <w:marLeft w:val="0"/>
      <w:marRight w:val="0"/>
      <w:marTop w:val="0"/>
      <w:marBottom w:val="0"/>
      <w:divBdr>
        <w:top w:val="none" w:sz="0" w:space="0" w:color="auto"/>
        <w:left w:val="none" w:sz="0" w:space="0" w:color="auto"/>
        <w:bottom w:val="none" w:sz="0" w:space="0" w:color="auto"/>
        <w:right w:val="none" w:sz="0" w:space="0" w:color="auto"/>
      </w:divBdr>
    </w:div>
    <w:div w:id="789395657">
      <w:bodyDiv w:val="1"/>
      <w:marLeft w:val="0"/>
      <w:marRight w:val="0"/>
      <w:marTop w:val="0"/>
      <w:marBottom w:val="0"/>
      <w:divBdr>
        <w:top w:val="none" w:sz="0" w:space="0" w:color="auto"/>
        <w:left w:val="none" w:sz="0" w:space="0" w:color="auto"/>
        <w:bottom w:val="none" w:sz="0" w:space="0" w:color="auto"/>
        <w:right w:val="none" w:sz="0" w:space="0" w:color="auto"/>
      </w:divBdr>
    </w:div>
    <w:div w:id="798189838">
      <w:bodyDiv w:val="1"/>
      <w:marLeft w:val="0"/>
      <w:marRight w:val="0"/>
      <w:marTop w:val="0"/>
      <w:marBottom w:val="0"/>
      <w:divBdr>
        <w:top w:val="none" w:sz="0" w:space="0" w:color="auto"/>
        <w:left w:val="none" w:sz="0" w:space="0" w:color="auto"/>
        <w:bottom w:val="none" w:sz="0" w:space="0" w:color="auto"/>
        <w:right w:val="none" w:sz="0" w:space="0" w:color="auto"/>
      </w:divBdr>
    </w:div>
    <w:div w:id="871111695">
      <w:bodyDiv w:val="1"/>
      <w:marLeft w:val="0"/>
      <w:marRight w:val="0"/>
      <w:marTop w:val="0"/>
      <w:marBottom w:val="0"/>
      <w:divBdr>
        <w:top w:val="none" w:sz="0" w:space="0" w:color="auto"/>
        <w:left w:val="none" w:sz="0" w:space="0" w:color="auto"/>
        <w:bottom w:val="none" w:sz="0" w:space="0" w:color="auto"/>
        <w:right w:val="none" w:sz="0" w:space="0" w:color="auto"/>
      </w:divBdr>
    </w:div>
    <w:div w:id="1113868551">
      <w:bodyDiv w:val="1"/>
      <w:marLeft w:val="0"/>
      <w:marRight w:val="0"/>
      <w:marTop w:val="0"/>
      <w:marBottom w:val="0"/>
      <w:divBdr>
        <w:top w:val="none" w:sz="0" w:space="0" w:color="auto"/>
        <w:left w:val="none" w:sz="0" w:space="0" w:color="auto"/>
        <w:bottom w:val="none" w:sz="0" w:space="0" w:color="auto"/>
        <w:right w:val="none" w:sz="0" w:space="0" w:color="auto"/>
      </w:divBdr>
    </w:div>
    <w:div w:id="1143040977">
      <w:bodyDiv w:val="1"/>
      <w:marLeft w:val="0"/>
      <w:marRight w:val="0"/>
      <w:marTop w:val="0"/>
      <w:marBottom w:val="0"/>
      <w:divBdr>
        <w:top w:val="none" w:sz="0" w:space="0" w:color="auto"/>
        <w:left w:val="none" w:sz="0" w:space="0" w:color="auto"/>
        <w:bottom w:val="none" w:sz="0" w:space="0" w:color="auto"/>
        <w:right w:val="none" w:sz="0" w:space="0" w:color="auto"/>
      </w:divBdr>
    </w:div>
    <w:div w:id="1184635459">
      <w:bodyDiv w:val="1"/>
      <w:marLeft w:val="0"/>
      <w:marRight w:val="0"/>
      <w:marTop w:val="0"/>
      <w:marBottom w:val="0"/>
      <w:divBdr>
        <w:top w:val="none" w:sz="0" w:space="0" w:color="auto"/>
        <w:left w:val="none" w:sz="0" w:space="0" w:color="auto"/>
        <w:bottom w:val="none" w:sz="0" w:space="0" w:color="auto"/>
        <w:right w:val="none" w:sz="0" w:space="0" w:color="auto"/>
      </w:divBdr>
    </w:div>
    <w:div w:id="1203984501">
      <w:bodyDiv w:val="1"/>
      <w:marLeft w:val="0"/>
      <w:marRight w:val="0"/>
      <w:marTop w:val="0"/>
      <w:marBottom w:val="0"/>
      <w:divBdr>
        <w:top w:val="none" w:sz="0" w:space="0" w:color="auto"/>
        <w:left w:val="none" w:sz="0" w:space="0" w:color="auto"/>
        <w:bottom w:val="none" w:sz="0" w:space="0" w:color="auto"/>
        <w:right w:val="none" w:sz="0" w:space="0" w:color="auto"/>
      </w:divBdr>
    </w:div>
    <w:div w:id="1359357888">
      <w:bodyDiv w:val="1"/>
      <w:marLeft w:val="0"/>
      <w:marRight w:val="0"/>
      <w:marTop w:val="0"/>
      <w:marBottom w:val="0"/>
      <w:divBdr>
        <w:top w:val="none" w:sz="0" w:space="0" w:color="auto"/>
        <w:left w:val="none" w:sz="0" w:space="0" w:color="auto"/>
        <w:bottom w:val="none" w:sz="0" w:space="0" w:color="auto"/>
        <w:right w:val="none" w:sz="0" w:space="0" w:color="auto"/>
      </w:divBdr>
    </w:div>
    <w:div w:id="1454207736">
      <w:bodyDiv w:val="1"/>
      <w:marLeft w:val="0"/>
      <w:marRight w:val="0"/>
      <w:marTop w:val="0"/>
      <w:marBottom w:val="0"/>
      <w:divBdr>
        <w:top w:val="none" w:sz="0" w:space="0" w:color="auto"/>
        <w:left w:val="none" w:sz="0" w:space="0" w:color="auto"/>
        <w:bottom w:val="none" w:sz="0" w:space="0" w:color="auto"/>
        <w:right w:val="none" w:sz="0" w:space="0" w:color="auto"/>
      </w:divBdr>
    </w:div>
    <w:div w:id="1478492452">
      <w:bodyDiv w:val="1"/>
      <w:marLeft w:val="0"/>
      <w:marRight w:val="0"/>
      <w:marTop w:val="0"/>
      <w:marBottom w:val="0"/>
      <w:divBdr>
        <w:top w:val="none" w:sz="0" w:space="0" w:color="auto"/>
        <w:left w:val="none" w:sz="0" w:space="0" w:color="auto"/>
        <w:bottom w:val="none" w:sz="0" w:space="0" w:color="auto"/>
        <w:right w:val="none" w:sz="0" w:space="0" w:color="auto"/>
      </w:divBdr>
    </w:div>
    <w:div w:id="1479610998">
      <w:bodyDiv w:val="1"/>
      <w:marLeft w:val="0"/>
      <w:marRight w:val="0"/>
      <w:marTop w:val="0"/>
      <w:marBottom w:val="0"/>
      <w:divBdr>
        <w:top w:val="none" w:sz="0" w:space="0" w:color="auto"/>
        <w:left w:val="none" w:sz="0" w:space="0" w:color="auto"/>
        <w:bottom w:val="none" w:sz="0" w:space="0" w:color="auto"/>
        <w:right w:val="none" w:sz="0" w:space="0" w:color="auto"/>
      </w:divBdr>
    </w:div>
    <w:div w:id="1545361771">
      <w:bodyDiv w:val="1"/>
      <w:marLeft w:val="0"/>
      <w:marRight w:val="0"/>
      <w:marTop w:val="0"/>
      <w:marBottom w:val="0"/>
      <w:divBdr>
        <w:top w:val="none" w:sz="0" w:space="0" w:color="auto"/>
        <w:left w:val="none" w:sz="0" w:space="0" w:color="auto"/>
        <w:bottom w:val="none" w:sz="0" w:space="0" w:color="auto"/>
        <w:right w:val="none" w:sz="0" w:space="0" w:color="auto"/>
      </w:divBdr>
    </w:div>
    <w:div w:id="1566381009">
      <w:bodyDiv w:val="1"/>
      <w:marLeft w:val="0"/>
      <w:marRight w:val="0"/>
      <w:marTop w:val="0"/>
      <w:marBottom w:val="0"/>
      <w:divBdr>
        <w:top w:val="none" w:sz="0" w:space="0" w:color="auto"/>
        <w:left w:val="none" w:sz="0" w:space="0" w:color="auto"/>
        <w:bottom w:val="none" w:sz="0" w:space="0" w:color="auto"/>
        <w:right w:val="none" w:sz="0" w:space="0" w:color="auto"/>
      </w:divBdr>
    </w:div>
    <w:div w:id="1733849018">
      <w:bodyDiv w:val="1"/>
      <w:marLeft w:val="0"/>
      <w:marRight w:val="0"/>
      <w:marTop w:val="0"/>
      <w:marBottom w:val="0"/>
      <w:divBdr>
        <w:top w:val="none" w:sz="0" w:space="0" w:color="auto"/>
        <w:left w:val="none" w:sz="0" w:space="0" w:color="auto"/>
        <w:bottom w:val="none" w:sz="0" w:space="0" w:color="auto"/>
        <w:right w:val="none" w:sz="0" w:space="0" w:color="auto"/>
      </w:divBdr>
    </w:div>
    <w:div w:id="1761290246">
      <w:bodyDiv w:val="1"/>
      <w:marLeft w:val="0"/>
      <w:marRight w:val="0"/>
      <w:marTop w:val="0"/>
      <w:marBottom w:val="0"/>
      <w:divBdr>
        <w:top w:val="none" w:sz="0" w:space="0" w:color="auto"/>
        <w:left w:val="none" w:sz="0" w:space="0" w:color="auto"/>
        <w:bottom w:val="none" w:sz="0" w:space="0" w:color="auto"/>
        <w:right w:val="none" w:sz="0" w:space="0" w:color="auto"/>
      </w:divBdr>
    </w:div>
    <w:div w:id="1763379868">
      <w:bodyDiv w:val="1"/>
      <w:marLeft w:val="0"/>
      <w:marRight w:val="0"/>
      <w:marTop w:val="0"/>
      <w:marBottom w:val="0"/>
      <w:divBdr>
        <w:top w:val="none" w:sz="0" w:space="0" w:color="auto"/>
        <w:left w:val="none" w:sz="0" w:space="0" w:color="auto"/>
        <w:bottom w:val="none" w:sz="0" w:space="0" w:color="auto"/>
        <w:right w:val="none" w:sz="0" w:space="0" w:color="auto"/>
      </w:divBdr>
    </w:div>
    <w:div w:id="1790511026">
      <w:bodyDiv w:val="1"/>
      <w:marLeft w:val="0"/>
      <w:marRight w:val="0"/>
      <w:marTop w:val="0"/>
      <w:marBottom w:val="0"/>
      <w:divBdr>
        <w:top w:val="none" w:sz="0" w:space="0" w:color="auto"/>
        <w:left w:val="none" w:sz="0" w:space="0" w:color="auto"/>
        <w:bottom w:val="none" w:sz="0" w:space="0" w:color="auto"/>
        <w:right w:val="none" w:sz="0" w:space="0" w:color="auto"/>
      </w:divBdr>
    </w:div>
    <w:div w:id="1872914602">
      <w:bodyDiv w:val="1"/>
      <w:marLeft w:val="0"/>
      <w:marRight w:val="0"/>
      <w:marTop w:val="0"/>
      <w:marBottom w:val="0"/>
      <w:divBdr>
        <w:top w:val="none" w:sz="0" w:space="0" w:color="auto"/>
        <w:left w:val="none" w:sz="0" w:space="0" w:color="auto"/>
        <w:bottom w:val="none" w:sz="0" w:space="0" w:color="auto"/>
        <w:right w:val="none" w:sz="0" w:space="0" w:color="auto"/>
      </w:divBdr>
    </w:div>
    <w:div w:id="1917089952">
      <w:bodyDiv w:val="1"/>
      <w:marLeft w:val="0"/>
      <w:marRight w:val="0"/>
      <w:marTop w:val="0"/>
      <w:marBottom w:val="0"/>
      <w:divBdr>
        <w:top w:val="none" w:sz="0" w:space="0" w:color="auto"/>
        <w:left w:val="none" w:sz="0" w:space="0" w:color="auto"/>
        <w:bottom w:val="none" w:sz="0" w:space="0" w:color="auto"/>
        <w:right w:val="none" w:sz="0" w:space="0" w:color="auto"/>
      </w:divBdr>
    </w:div>
    <w:div w:id="1931431673">
      <w:bodyDiv w:val="1"/>
      <w:marLeft w:val="0"/>
      <w:marRight w:val="0"/>
      <w:marTop w:val="0"/>
      <w:marBottom w:val="0"/>
      <w:divBdr>
        <w:top w:val="none" w:sz="0" w:space="0" w:color="auto"/>
        <w:left w:val="none" w:sz="0" w:space="0" w:color="auto"/>
        <w:bottom w:val="none" w:sz="0" w:space="0" w:color="auto"/>
        <w:right w:val="none" w:sz="0" w:space="0" w:color="auto"/>
      </w:divBdr>
    </w:div>
    <w:div w:id="1974560007">
      <w:bodyDiv w:val="1"/>
      <w:marLeft w:val="0"/>
      <w:marRight w:val="0"/>
      <w:marTop w:val="0"/>
      <w:marBottom w:val="0"/>
      <w:divBdr>
        <w:top w:val="none" w:sz="0" w:space="0" w:color="auto"/>
        <w:left w:val="none" w:sz="0" w:space="0" w:color="auto"/>
        <w:bottom w:val="none" w:sz="0" w:space="0" w:color="auto"/>
        <w:right w:val="none" w:sz="0" w:space="0" w:color="auto"/>
      </w:divBdr>
    </w:div>
    <w:div w:id="2068676379">
      <w:bodyDiv w:val="1"/>
      <w:marLeft w:val="0"/>
      <w:marRight w:val="0"/>
      <w:marTop w:val="0"/>
      <w:marBottom w:val="0"/>
      <w:divBdr>
        <w:top w:val="none" w:sz="0" w:space="0" w:color="auto"/>
        <w:left w:val="none" w:sz="0" w:space="0" w:color="auto"/>
        <w:bottom w:val="none" w:sz="0" w:space="0" w:color="auto"/>
        <w:right w:val="none" w:sz="0" w:space="0" w:color="auto"/>
      </w:divBdr>
      <w:divsChild>
        <w:div w:id="255864812">
          <w:marLeft w:val="0"/>
          <w:marRight w:val="0"/>
          <w:marTop w:val="0"/>
          <w:marBottom w:val="0"/>
          <w:divBdr>
            <w:top w:val="none" w:sz="0" w:space="0" w:color="auto"/>
            <w:left w:val="none" w:sz="0" w:space="0" w:color="auto"/>
            <w:bottom w:val="none" w:sz="0" w:space="0" w:color="auto"/>
            <w:right w:val="none" w:sz="0" w:space="0" w:color="auto"/>
          </w:divBdr>
        </w:div>
      </w:divsChild>
    </w:div>
    <w:div w:id="213031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limatebonds.ne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rus/docs/P2100000996/histo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cmagroup.org/sustainable-finance/the-principles-guidelines-and-handbooks/green-bond-principles-gb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br.org/upload/iblock/724/ESG-Bonds_04.10.2021_3_rus.cleaned.pdf" TargetMode="External"/><Relationship Id="rId5" Type="http://schemas.openxmlformats.org/officeDocument/2006/relationships/webSettings" Target="webSettings.xml"/><Relationship Id="rId15" Type="http://schemas.openxmlformats.org/officeDocument/2006/relationships/hyperlink" Target="https://www.globalreporting.org/standards/" TargetMode="External"/><Relationship Id="rId10" Type="http://schemas.openxmlformats.org/officeDocument/2006/relationships/hyperlink" Target="https://eec.eaeunion.org/upload/medialibrary/fbf/avdqxnky1ryap880n9fh90rg550y0gf4/Kriterii-dlya-opublikovaniya-_Modelnaya-taksonomiya_-17.0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eb.ru/ustojchivoe-razvitie/zeljonoe-finansirovanie/metodologiya/" TargetMode="External"/><Relationship Id="rId14" Type="http://schemas.openxmlformats.org/officeDocument/2006/relationships/hyperlink" Target="https://finance.ec.europa.eu/sustainable-finance/tools-and-standards/eu-taxonomy-sustainable-activities_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eb.ru/ustojchivoe-razvitie/zeljonoe-finansirovanie/metodologiya/" TargetMode="External"/><Relationship Id="rId2" Type="http://schemas.openxmlformats.org/officeDocument/2006/relationships/hyperlink" Target="https://eabr.org/upload/iblock/724/ESG-Bonds_04.10.2021_3_rus.cleaned.pdf" TargetMode="External"/><Relationship Id="rId1" Type="http://schemas.openxmlformats.org/officeDocument/2006/relationships/hyperlink" Target="https://eec.eaeunion.org/upload/medialibrary/fbf/avdqxnky1ryap880n9fh90rg550y0gf4/Kriterii-dlya-opublikovaniya-_Modelnaya-taksonomiya_-17.04.pdf" TargetMode="External"/><Relationship Id="rId6" Type="http://schemas.openxmlformats.org/officeDocument/2006/relationships/hyperlink" Target="https://www.icmagroup.org/sustainable-finance/the-principles-guidelines-and-handbooks/green-bond-principles-gbp/" TargetMode="External"/><Relationship Id="rId5" Type="http://schemas.openxmlformats.org/officeDocument/2006/relationships/hyperlink" Target="https://finance.ec.europa.eu/sustainable-finance/tools-and-standards/eu-taxonomy-sustainable-activities_en" TargetMode="External"/><Relationship Id="rId4" Type="http://schemas.openxmlformats.org/officeDocument/2006/relationships/hyperlink" Target="https://adilet.zan.kz/rus/docs/P210000099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2F68468D244C7389154FF83CCD6D09"/>
        <w:category>
          <w:name w:val="Général"/>
          <w:gallery w:val="placeholder"/>
        </w:category>
        <w:types>
          <w:type w:val="bbPlcHdr"/>
        </w:types>
        <w:behaviors>
          <w:behavior w:val="content"/>
        </w:behaviors>
        <w:guid w:val="{8EABBCFE-7F3E-4D24-8EAB-DEDF682FB86D}"/>
      </w:docPartPr>
      <w:docPartBody>
        <w:p w:rsidR="00EF39FC" w:rsidRDefault="002440AE" w:rsidP="002440AE">
          <w:pPr>
            <w:pStyle w:val="B52F68468D244C7389154FF83CCD6D09"/>
          </w:pPr>
          <w:r>
            <w:rPr>
              <w:rFonts w:asciiTheme="majorHAnsi" w:eastAsiaTheme="majorEastAsia" w:hAnsiTheme="majorHAnsi" w:cstheme="majorBidi"/>
              <w:color w:val="4472C4" w:themeColor="accent1"/>
              <w:sz w:val="88"/>
              <w:szCs w:val="8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AE"/>
    <w:rsid w:val="00155E2B"/>
    <w:rsid w:val="001A403C"/>
    <w:rsid w:val="002440AE"/>
    <w:rsid w:val="00650393"/>
    <w:rsid w:val="006E299B"/>
    <w:rsid w:val="00714A04"/>
    <w:rsid w:val="007D782C"/>
    <w:rsid w:val="00932248"/>
    <w:rsid w:val="00AC65B5"/>
    <w:rsid w:val="00BD6C26"/>
    <w:rsid w:val="00EF39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52F68468D244C7389154FF83CCD6D09">
    <w:name w:val="B52F68468D244C7389154FF83CCD6D09"/>
    <w:rsid w:val="00244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302F3-8040-4BA1-9F68-04752943E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5482</Words>
  <Characters>31251</Characters>
  <Application>Microsoft Office Word</Application>
  <DocSecurity>0</DocSecurity>
  <Lines>260</Lines>
  <Paragraphs>73</Paragraphs>
  <ScaleCrop>false</ScaleCrop>
  <HeadingPairs>
    <vt:vector size="6" baseType="variant">
      <vt:variant>
        <vt:lpstr>Название</vt:lpstr>
      </vt:variant>
      <vt:variant>
        <vt:i4>1</vt:i4>
      </vt:variant>
      <vt:variant>
        <vt:lpstr>Заголовки</vt:lpstr>
      </vt:variant>
      <vt:variant>
        <vt:i4>11</vt:i4>
      </vt:variant>
      <vt:variant>
        <vt:lpstr>Titre</vt:lpstr>
      </vt:variant>
      <vt:variant>
        <vt:i4>1</vt:i4>
      </vt:variant>
    </vt:vector>
  </HeadingPairs>
  <TitlesOfParts>
    <vt:vector size="13" baseType="lpstr">
      <vt:lpstr>Практические рекомендации по подготовке документации для проектов по повышению энергоэффективности и энергосбережению для финансирования за счет «зеленых» облигаций</vt:lpstr>
      <vt:lpstr>Введение</vt:lpstr>
      <vt:lpstr>1. Требования к «зеленому» финансированию проектов в Российской Федерации</vt:lpstr>
      <vt:lpstr>    1.1. Федеральные требования </vt:lpstr>
      <vt:lpstr>    1.2. ТРЕБОВАНИЯ МОСКОВСКОЙ БИРЖИ</vt:lpstr>
      <vt:lpstr>2. «ЗЕЛЕНАЯ» ТАКСОНОМИЯ ПРОЕКТОВ ПО МЕХАНИЗМАМ «ЗЕЛЕНОГО» ФИНАНСИРОВАНИЯ В РЕСПУ</vt:lpstr>
      <vt:lpstr>    2.1. ТРЕБОВАНИЯ НАЦИОНАЛЬНОГО ЗАКОНОДАТЕЛЬСТВА</vt:lpstr>
      <vt:lpstr>    2.2. ТРЕБОВАНИЯ БИРЖ КАЗАХСТАНА ПО ВЫПУСКУ «ЗЕЛЕНЫХ» ДОЛГОВЫХ ИНСТРУМЕНТОВ</vt:lpstr>
      <vt:lpstr>3. «ЗЕЛЕНОЕ» ФИНАНСИРОВАНИЕ В ЕВРАЗИЙСКОМ ЭКОНОМИЧЕСКОМ СОЮЗЕ</vt:lpstr>
      <vt:lpstr>    3.1. ПОДХОДЫ К ГАРМОНИЗАЦИИ ТРЕБОВАНИЙ К «ЗЕЛЕНОЙ» ТАКСОНОМИИ ПРОЕКТОВ В ЕВРАЗИЙ</vt:lpstr>
      <vt:lpstr>    3.2. ТРЕБОВАНИЯ ЕВРАЗИЙСКОГО БАНКА РАЗВИТИЯ ПО ВЫПУСКУ «ЗЕЛЕНЫХ» ДОЛГОВЫХ ИНСТРУ</vt:lpstr>
      <vt:lpstr>Ссылки </vt:lpstr>
      <vt:lpstr>Практические рекомендации по подготовке документации для проектов по повышению энергоэффективности и энергосбережению для финансирования за счет «зеленых» облигаций</vt:lpstr>
    </vt:vector>
  </TitlesOfParts>
  <Company/>
  <LinksUpToDate>false</LinksUpToDate>
  <CharactersWithSpaces>36660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Практические рекомендации по подготовке документации для проектов по повышению энергоэффективности и энергосбережению для финансирования за счет «зеленых» облигаций</dc:title>
  <dc:subject/>
  <dc:creator>George SAFONOV</dc:creator>
  <cp:keywords/>
  <dc:description/>
  <cp:lastModifiedBy>Вячеслав Санников</cp:lastModifiedBy>
  <cp:revision>2</cp:revision>
  <dcterms:created xsi:type="dcterms:W3CDTF">2025-09-24T11:45:00Z</dcterms:created>
  <dcterms:modified xsi:type="dcterms:W3CDTF">2025-09-24T11:45:00Z</dcterms:modified>
</cp:coreProperties>
</file>