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752A9194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77270B" w:rsidRPr="00E36159">
        <w:rPr>
          <w:color w:val="000000"/>
          <w:sz w:val="28"/>
          <w:szCs w:val="28"/>
        </w:rPr>
        <w:t>31.03</w:t>
      </w:r>
      <w:r w:rsidR="00E329BB" w:rsidRPr="00E36159">
        <w:rPr>
          <w:color w:val="000000"/>
          <w:sz w:val="28"/>
          <w:szCs w:val="28"/>
        </w:rPr>
        <w:t>.2023</w:t>
      </w:r>
      <w:r w:rsidRPr="00E36159">
        <w:rPr>
          <w:color w:val="000000"/>
          <w:sz w:val="28"/>
          <w:szCs w:val="28"/>
        </w:rPr>
        <w:t xml:space="preserve"> № </w:t>
      </w:r>
      <w:r w:rsidR="0077270B" w:rsidRPr="00E36159">
        <w:rPr>
          <w:color w:val="000000"/>
          <w:sz w:val="28"/>
          <w:szCs w:val="28"/>
        </w:rPr>
        <w:t>5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16EA827A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2B57BAA5" w:rsidR="002A0F0F" w:rsidRPr="00321F7D" w:rsidRDefault="0077270B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апреля</w:t>
      </w:r>
      <w:r w:rsid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74050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018FE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ма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40502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0018F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="002A0F0F" w:rsidRPr="00321F7D">
        <w:rPr>
          <w:rFonts w:ascii="Times New Roman" w:hAnsi="Times New Roman" w:cs="Times New Roman"/>
          <w:sz w:val="28"/>
          <w:szCs w:val="28"/>
          <w:u w:val="single"/>
        </w:rPr>
        <w:t>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5B475286" w:rsidR="002A0F0F" w:rsidRPr="00740502" w:rsidRDefault="0077270B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мая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7405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0FBC5B4E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B701E1">
        <w:rPr>
          <w:rFonts w:ascii="Times New Roman" w:hAnsi="Times New Roman" w:cs="Times New Roman"/>
          <w:sz w:val="28"/>
          <w:szCs w:val="28"/>
        </w:rPr>
        <w:t>4</w:t>
      </w:r>
      <w:r w:rsidR="00066C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3F2939C6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77270B">
        <w:rPr>
          <w:rFonts w:ascii="Times New Roman" w:hAnsi="Times New Roman" w:cs="Times New Roman"/>
          <w:sz w:val="28"/>
          <w:szCs w:val="28"/>
          <w:u w:val="single"/>
        </w:rPr>
        <w:t>3 мая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407778E9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3CC45778" w:rsidR="003E4F4E" w:rsidRPr="00852921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="0077270B">
        <w:rPr>
          <w:rFonts w:ascii="Times New Roman" w:hAnsi="Times New Roman" w:cs="Times New Roman"/>
          <w:b/>
          <w:bCs/>
          <w:sz w:val="28"/>
          <w:szCs w:val="28"/>
        </w:rPr>
        <w:t>351,16053</w:t>
      </w:r>
      <w:r w:rsidR="00740502"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066C3A" w:rsidRPr="007A5AA0" w14:paraId="71815ECB" w14:textId="77777777" w:rsidTr="00890DA1">
        <w:tc>
          <w:tcPr>
            <w:tcW w:w="1056" w:type="dxa"/>
            <w:tcMar>
              <w:left w:w="6" w:type="dxa"/>
              <w:right w:w="6" w:type="dxa"/>
            </w:tcMar>
          </w:tcPr>
          <w:p w14:paraId="698A3205" w14:textId="384EBEFA" w:rsidR="00066C3A" w:rsidRPr="008B5558" w:rsidRDefault="00066C3A" w:rsidP="008B555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5ADE6A5" w14:textId="77777777" w:rsidR="00066C3A" w:rsidRPr="007A5AA0" w:rsidRDefault="00066C3A" w:rsidP="00890DA1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14:paraId="2B76394F" w14:textId="77777777" w:rsidR="00066C3A" w:rsidRPr="007A5AA0" w:rsidRDefault="00066C3A" w:rsidP="00890DA1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066C3A" w:rsidRPr="007A5AA0" w14:paraId="6C870326" w14:textId="77777777" w:rsidTr="00890DA1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14:paraId="24F1D50C" w14:textId="77777777" w:rsidR="00066C3A" w:rsidRPr="00BB1784" w:rsidRDefault="00066C3A" w:rsidP="00890DA1">
            <w:pPr>
              <w:spacing w:before="60" w:after="60" w:line="200" w:lineRule="exact"/>
              <w:rPr>
                <w:sz w:val="30"/>
                <w:szCs w:val="30"/>
              </w:rPr>
            </w:pPr>
            <w:r w:rsidRPr="00BB1784">
              <w:rPr>
                <w:sz w:val="30"/>
                <w:szCs w:val="30"/>
              </w:rPr>
              <w:t xml:space="preserve">Подпрограмма № 1 </w:t>
            </w:r>
            <w:r w:rsidRPr="00BB1784">
              <w:rPr>
                <w:color w:val="000000"/>
                <w:sz w:val="30"/>
                <w:szCs w:val="30"/>
              </w:rPr>
              <w:t>«Повышение энергоэффективности»</w:t>
            </w:r>
          </w:p>
        </w:tc>
      </w:tr>
      <w:tr w:rsidR="00066C3A" w:rsidRPr="00E10FCE" w14:paraId="70694668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1290C830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75C84D2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3604CA6" w14:textId="77777777" w:rsidR="00066C3A" w:rsidRPr="00E10FCE" w:rsidRDefault="00066C3A" w:rsidP="00890DA1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10FCE">
              <w:t>шт.</w:t>
            </w:r>
          </w:p>
        </w:tc>
      </w:tr>
      <w:tr w:rsidR="00066C3A" w:rsidRPr="00E10FCE" w14:paraId="272BDA6B" w14:textId="77777777" w:rsidTr="00890DA1">
        <w:trPr>
          <w:trHeight w:val="308"/>
        </w:trPr>
        <w:tc>
          <w:tcPr>
            <w:tcW w:w="1056" w:type="dxa"/>
            <w:tcMar>
              <w:left w:w="28" w:type="dxa"/>
              <w:right w:w="28" w:type="dxa"/>
            </w:tcMar>
          </w:tcPr>
          <w:p w14:paraId="11BEF646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65FAA3E2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B6E07BE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278465D3" w14:textId="77777777" w:rsidTr="00890DA1">
        <w:trPr>
          <w:trHeight w:val="203"/>
        </w:trPr>
        <w:tc>
          <w:tcPr>
            <w:tcW w:w="1056" w:type="dxa"/>
            <w:tcMar>
              <w:left w:w="28" w:type="dxa"/>
              <w:right w:w="28" w:type="dxa"/>
            </w:tcMar>
          </w:tcPr>
          <w:p w14:paraId="3EBCB7E7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68E7FA8C" w14:textId="77777777" w:rsidR="00066C3A" w:rsidRPr="00E10FCE" w:rsidRDefault="00066C3A" w:rsidP="00890DA1">
            <w:r w:rsidRPr="00E10FCE">
              <w:t>Замена насосного оборудования более энергоэффективным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83C0B3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6EF6D42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1D431E7B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32F50B75" w14:textId="77777777" w:rsidR="00066C3A" w:rsidRPr="00E10FCE" w:rsidRDefault="00066C3A" w:rsidP="00890DA1">
            <w:r w:rsidRPr="00E10FCE"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C558DF" w14:textId="77777777" w:rsidR="00066C3A" w:rsidRPr="00E10FCE" w:rsidRDefault="00066C3A" w:rsidP="00890DA1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91D87ED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38610FC1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EA64038" w14:textId="77777777" w:rsidR="00066C3A" w:rsidRPr="00E10FCE" w:rsidRDefault="00066C3A" w:rsidP="00890DA1">
            <w:r w:rsidRPr="00E10FCE"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FA8DC4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4691E24F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507CEDDE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63BE486B" w14:textId="77777777" w:rsidR="00066C3A" w:rsidRPr="00E10FCE" w:rsidRDefault="00066C3A" w:rsidP="00890DA1">
            <w:r w:rsidRPr="00E10FCE"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5ED2ADB" w14:textId="77777777" w:rsidR="00066C3A" w:rsidRPr="00E10FCE" w:rsidRDefault="00066C3A" w:rsidP="00890DA1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0EBEA65D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65A3C6DD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7110824" w14:textId="77777777" w:rsidR="00066C3A" w:rsidRPr="00E10FCE" w:rsidRDefault="00066C3A" w:rsidP="00890DA1">
            <w:r w:rsidRPr="00E10FCE"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723095" w14:textId="77777777" w:rsidR="00066C3A" w:rsidRPr="00E10FCE" w:rsidRDefault="00066C3A" w:rsidP="00890DA1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3CE0477F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4300F648" w14:textId="77777777" w:rsidR="00066C3A" w:rsidRPr="00E10FCE" w:rsidRDefault="00066C3A" w:rsidP="00890DA1">
            <w:pPr>
              <w:pStyle w:val="ad"/>
              <w:ind w:right="-29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16F5005A" w14:textId="77777777" w:rsidR="00066C3A" w:rsidRPr="00E10FCE" w:rsidRDefault="00066C3A" w:rsidP="00890DA1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E10FCE">
              <w:rPr>
                <w:b w:val="0"/>
                <w:bCs w:val="0"/>
                <w:sz w:val="24"/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01B2827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2511FDBF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03239920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1330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07B606C4" w14:textId="77777777" w:rsidR="00066C3A" w:rsidRPr="00E10FCE" w:rsidRDefault="00066C3A" w:rsidP="00890DA1">
            <w:r w:rsidRPr="00E10FCE"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D2E5223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5D77C4B1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46886F1D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B1B94E2" w14:textId="77777777" w:rsidR="00066C3A" w:rsidRPr="00E10FCE" w:rsidRDefault="00066C3A" w:rsidP="00890DA1">
            <w:pPr>
              <w:ind w:left="26" w:hanging="26"/>
            </w:pPr>
            <w:r w:rsidRPr="00E10FCE"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E10FCE">
              <w:t>электронагрева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C2B8AC6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875962A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56C19064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1425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ACD4137" w14:textId="77777777" w:rsidR="00066C3A" w:rsidRPr="00E10FCE" w:rsidRDefault="00066C3A" w:rsidP="00890DA1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F4BC29C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178C132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020EABA5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1426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07DB7904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BE380B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23CFFF08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897C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F49B1" w14:textId="77777777" w:rsidR="00066C3A" w:rsidRPr="00E10FCE" w:rsidRDefault="00066C3A" w:rsidP="00890DA1">
            <w:pPr>
              <w:pStyle w:val="a3"/>
            </w:pPr>
            <w:proofErr w:type="spellStart"/>
            <w:r w:rsidRPr="00E10FCE">
              <w:t>Термореновация</w:t>
            </w:r>
            <w:proofErr w:type="spellEnd"/>
            <w:r w:rsidRPr="00E10FCE">
              <w:t xml:space="preserve"> ограждающих конструкций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AD7A7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14:paraId="24197C40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795D1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B70CD" w14:textId="77777777" w:rsidR="00066C3A" w:rsidRPr="00E10FCE" w:rsidRDefault="00066C3A" w:rsidP="00890DA1">
            <w:pPr>
              <w:pStyle w:val="a3"/>
            </w:pPr>
            <w:proofErr w:type="spellStart"/>
            <w:r w:rsidRPr="00E10FCE">
              <w:t>Термореновация</w:t>
            </w:r>
            <w:proofErr w:type="spellEnd"/>
            <w:r w:rsidRPr="00E10FCE">
              <w:t xml:space="preserve"> ограждающих конструкций кровли,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36EAC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14:paraId="1DEEB497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06CD5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BE917" w14:textId="77777777" w:rsidR="00066C3A" w:rsidRPr="00E10FCE" w:rsidRDefault="00066C3A" w:rsidP="00890DA1">
            <w:pPr>
              <w:pStyle w:val="a3"/>
            </w:pPr>
            <w:r w:rsidRPr="00E10FCE">
              <w:t>Замена оконных блоков с установкой стеклопакетов и входных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C9FCA9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14:paraId="674C83CD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92CC7C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BA3C3" w14:textId="77777777" w:rsidR="00066C3A" w:rsidRPr="00E10FCE" w:rsidRDefault="00066C3A" w:rsidP="00890DA1">
            <w:r w:rsidRPr="00E10FCE"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64D34" w14:textId="77777777" w:rsidR="00066C3A" w:rsidRPr="00E10FCE" w:rsidRDefault="00066C3A" w:rsidP="00890DA1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70D71B90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94D59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95587" w14:textId="77777777" w:rsidR="00066C3A" w:rsidRPr="00E10FCE" w:rsidRDefault="00066C3A" w:rsidP="00890DA1">
            <w:r w:rsidRPr="00E10FCE"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3022D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ед.</w:t>
            </w:r>
          </w:p>
        </w:tc>
      </w:tr>
      <w:tr w:rsidR="00066C3A" w:rsidRPr="00E10FCE" w14:paraId="4E70D5C7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94B64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DFA58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9D297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0085227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614D9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AB5B5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9914E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B8B5247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45C77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C00D9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9407A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560E76D0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E02BFB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43340" w14:textId="77777777" w:rsidR="00066C3A" w:rsidRPr="00E10FCE" w:rsidRDefault="00066C3A" w:rsidP="00890DA1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EC37E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7E3F0DF9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03F0F2B1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1721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D9B1DB5" w14:textId="77777777" w:rsidR="00066C3A" w:rsidRPr="00E10FCE" w:rsidRDefault="00066C3A" w:rsidP="00890DA1">
            <w:pPr>
              <w:rPr>
                <w:szCs w:val="30"/>
              </w:rPr>
            </w:pPr>
            <w:r w:rsidRPr="00E10FCE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CF8570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7423D40E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54080610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1722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2DD7059" w14:textId="77777777" w:rsidR="00066C3A" w:rsidRPr="00E10FCE" w:rsidRDefault="00066C3A" w:rsidP="00890DA1">
            <w:pPr>
              <w:rPr>
                <w:szCs w:val="30"/>
              </w:rPr>
            </w:pPr>
            <w:r w:rsidRPr="00E10FCE">
              <w:rPr>
                <w:szCs w:val="30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BECB0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  <w:tr w:rsidR="00066C3A" w:rsidRPr="00BB1784" w14:paraId="7D374E51" w14:textId="77777777" w:rsidTr="00890DA1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B1F2A" w14:textId="77777777" w:rsidR="00066C3A" w:rsidRPr="00BB1784" w:rsidRDefault="00066C3A" w:rsidP="00890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4253112"/>
            <w:r w:rsidRPr="00BB1784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использования местных ТЭР, в том числе ВИЭ»</w:t>
            </w:r>
            <w:bookmarkEnd w:id="2"/>
          </w:p>
        </w:tc>
      </w:tr>
      <w:tr w:rsidR="00066C3A" w:rsidRPr="00E10FCE" w14:paraId="017DC6F5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4853E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87345" w14:textId="77777777" w:rsidR="00066C3A" w:rsidRPr="00E10FCE" w:rsidRDefault="00066C3A" w:rsidP="00890DA1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топливной щепе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AC615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075D637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668BD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2CFC4C" w14:textId="77777777" w:rsidR="00066C3A" w:rsidRPr="00E10FCE" w:rsidRDefault="00066C3A" w:rsidP="00890DA1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древесных пеллетах (гранулах, брикетах)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7A22F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68395FA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7E09C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lastRenderedPageBreak/>
              <w:t>1623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09856" w14:textId="77777777" w:rsidR="00066C3A" w:rsidRPr="00E10FCE" w:rsidRDefault="00066C3A" w:rsidP="00890DA1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10903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5C22A214" w14:textId="77777777" w:rsidTr="00890DA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D6226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B2CD6" w14:textId="77777777" w:rsidR="00066C3A" w:rsidRPr="00E10FCE" w:rsidRDefault="00066C3A" w:rsidP="00890DA1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3F033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588282EC" w14:textId="77777777" w:rsidTr="00890DA1">
        <w:tc>
          <w:tcPr>
            <w:tcW w:w="1056" w:type="dxa"/>
            <w:shd w:val="clear" w:color="auto" w:fill="auto"/>
            <w:tcMar>
              <w:left w:w="28" w:type="dxa"/>
              <w:right w:w="28" w:type="dxa"/>
            </w:tcMar>
          </w:tcPr>
          <w:p w14:paraId="37B0B308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1641</w:t>
            </w:r>
          </w:p>
        </w:tc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</w:tcPr>
          <w:p w14:paraId="10D1049D" w14:textId="77777777" w:rsidR="00066C3A" w:rsidRPr="00E10FCE" w:rsidRDefault="00066C3A" w:rsidP="00890DA1">
            <w:pPr>
              <w:ind w:left="26" w:hanging="26"/>
            </w:pPr>
            <w:r w:rsidRPr="00E10FCE"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DAAB22F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82486B4" w14:textId="77777777" w:rsidTr="00890DA1">
        <w:tc>
          <w:tcPr>
            <w:tcW w:w="1056" w:type="dxa"/>
            <w:shd w:val="clear" w:color="auto" w:fill="auto"/>
            <w:tcMar>
              <w:left w:w="28" w:type="dxa"/>
              <w:right w:w="28" w:type="dxa"/>
            </w:tcMar>
          </w:tcPr>
          <w:p w14:paraId="21E58D60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1642</w:t>
            </w:r>
          </w:p>
        </w:tc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</w:tcPr>
          <w:p w14:paraId="7E6D5617" w14:textId="77777777" w:rsidR="00066C3A" w:rsidRPr="00E10FCE" w:rsidRDefault="00066C3A" w:rsidP="00890DA1">
            <w:pPr>
              <w:ind w:left="26" w:hanging="26"/>
            </w:pPr>
            <w:r w:rsidRPr="00E10FCE"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438CB5BA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C0955CF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7C504A9B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F4B0463" w14:textId="77777777" w:rsidR="00066C3A" w:rsidRPr="00E10FCE" w:rsidRDefault="00066C3A" w:rsidP="00890DA1">
            <w:pPr>
              <w:ind w:left="26" w:hanging="26"/>
              <w:rPr>
                <w:szCs w:val="30"/>
              </w:rPr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 xml:space="preserve">энергии </w:t>
            </w:r>
            <w:r w:rsidRPr="00E10FCE">
              <w:rPr>
                <w:szCs w:val="30"/>
              </w:rPr>
              <w:br/>
              <w:t>воды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BF408FA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64D6981A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36C33011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917DCE8" w14:textId="77777777" w:rsidR="00066C3A" w:rsidRPr="00E10FCE" w:rsidRDefault="00066C3A" w:rsidP="00890DA1">
            <w:pPr>
              <w:ind w:left="26" w:hanging="26"/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>энергии солнца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829D3B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6069F6D7" w14:textId="77777777" w:rsidTr="00890DA1">
        <w:tc>
          <w:tcPr>
            <w:tcW w:w="1056" w:type="dxa"/>
            <w:tcMar>
              <w:left w:w="28" w:type="dxa"/>
              <w:right w:w="28" w:type="dxa"/>
            </w:tcMar>
          </w:tcPr>
          <w:p w14:paraId="545EA28C" w14:textId="77777777" w:rsidR="00066C3A" w:rsidRPr="00E10FCE" w:rsidRDefault="00066C3A" w:rsidP="00890DA1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D8EB285" w14:textId="77777777" w:rsidR="00066C3A" w:rsidRPr="00E10FCE" w:rsidRDefault="00066C3A" w:rsidP="00890DA1">
            <w:pPr>
              <w:ind w:left="26" w:hanging="26"/>
            </w:pPr>
            <w:r w:rsidRPr="00E10FCE"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663741A" w14:textId="77777777" w:rsidR="00066C3A" w:rsidRPr="00E10FCE" w:rsidRDefault="00066C3A" w:rsidP="00890DA1">
            <w:pPr>
              <w:jc w:val="center"/>
            </w:pPr>
            <w:r w:rsidRPr="00E10FCE">
              <w:t>шт.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3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3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 xml:space="preserve">(не менее 10 т </w:t>
      </w:r>
      <w:proofErr w:type="spellStart"/>
      <w:r w:rsidR="00F06F93" w:rsidRPr="00F06F93">
        <w:rPr>
          <w:sz w:val="28"/>
          <w:szCs w:val="28"/>
        </w:rPr>
        <w:t>у.т</w:t>
      </w:r>
      <w:proofErr w:type="spellEnd"/>
      <w:r w:rsidR="00F06F93" w:rsidRPr="00F06F93">
        <w:rPr>
          <w:sz w:val="28"/>
          <w:szCs w:val="28"/>
        </w:rPr>
        <w:t>.);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323A135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516D12">
        <w:rPr>
          <w:rFonts w:ascii="Times New Roman" w:hAnsi="Times New Roman" w:cs="Times New Roman"/>
          <w:sz w:val="28"/>
          <w:szCs w:val="28"/>
        </w:rPr>
        <w:t>ри равн</w:t>
      </w:r>
      <w:r w:rsidR="009E01F7">
        <w:rPr>
          <w:rFonts w:ascii="Times New Roman" w:hAnsi="Times New Roman" w:cs="Times New Roman"/>
          <w:sz w:val="28"/>
          <w:szCs w:val="28"/>
        </w:rPr>
        <w:t xml:space="preserve">ом количестве </w:t>
      </w:r>
      <w:r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>
        <w:rPr>
          <w:rFonts w:ascii="Times New Roman" w:hAnsi="Times New Roman" w:cs="Times New Roman"/>
          <w:sz w:val="28"/>
          <w:szCs w:val="28"/>
        </w:rPr>
        <w:t>баллов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</w:t>
      </w:r>
      <w:r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9E01F7" w:rsidRPr="00516D1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подпрограммы № 2 «Развитие использования местных ТЭР, в том числе ВИЭ» Госпрограммы «Энергосбережение»; </w:t>
      </w:r>
      <w:r>
        <w:rPr>
          <w:rFonts w:ascii="Times New Roman" w:hAnsi="Times New Roman" w:cs="Times New Roman"/>
          <w:sz w:val="28"/>
          <w:szCs w:val="28"/>
        </w:rPr>
        <w:t>из нескольких мероприятий одной подпрограммы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>–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</w:t>
      </w:r>
      <w:r w:rsidR="005206F5">
        <w:rPr>
          <w:rFonts w:ascii="Times New Roman" w:hAnsi="Times New Roman" w:cs="Times New Roman"/>
          <w:sz w:val="28"/>
          <w:szCs w:val="28"/>
        </w:rPr>
        <w:t>–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63B6611A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77270B">
        <w:rPr>
          <w:rFonts w:ascii="Times New Roman" w:hAnsi="Times New Roman" w:cs="Times New Roman"/>
          <w:b/>
          <w:bCs/>
          <w:sz w:val="28"/>
          <w:szCs w:val="28"/>
        </w:rPr>
        <w:t>5 мая</w:t>
      </w:r>
      <w:r w:rsidR="003C4DD7" w:rsidRP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4F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bookmarkEnd w:id="4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173A8513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E36159">
        <w:rPr>
          <w:color w:val="000000"/>
          <w:sz w:val="28"/>
          <w:szCs w:val="28"/>
        </w:rPr>
        <w:t>31.03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E36159">
        <w:rPr>
          <w:color w:val="000000"/>
          <w:sz w:val="28"/>
          <w:szCs w:val="28"/>
        </w:rPr>
        <w:t>5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41BEEADF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>202</w:t>
      </w:r>
      <w:r w:rsidR="0072193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890DA1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890DA1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890DA1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079C9B60" w:rsidR="00D957CB" w:rsidRPr="00D957CB" w:rsidRDefault="00D957CB" w:rsidP="00890DA1">
            <w:r w:rsidRPr="00D957CB">
              <w:t xml:space="preserve">Подпрограмма №1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890DA1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890DA1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890DA1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890DA1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890DA1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5" w:name="Par86"/>
      <w:bookmarkEnd w:id="5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r w:rsidRPr="00AD40BE">
              <w:t>у.т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</w:t>
      </w:r>
      <w:r>
        <w:rPr>
          <w:sz w:val="30"/>
          <w:szCs w:val="30"/>
        </w:rPr>
        <w:t>________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F972" w14:textId="77777777" w:rsidR="00EB5AA2" w:rsidRDefault="00EB5AA2">
      <w:r>
        <w:separator/>
      </w:r>
    </w:p>
  </w:endnote>
  <w:endnote w:type="continuationSeparator" w:id="0">
    <w:p w14:paraId="3617C21F" w14:textId="77777777" w:rsidR="00EB5AA2" w:rsidRDefault="00E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5F53" w14:textId="77777777" w:rsidR="00EB5AA2" w:rsidRDefault="00EB5AA2">
      <w:r>
        <w:separator/>
      </w:r>
    </w:p>
  </w:footnote>
  <w:footnote w:type="continuationSeparator" w:id="0">
    <w:p w14:paraId="5A9588C0" w14:textId="77777777" w:rsidR="00EB5AA2" w:rsidRDefault="00EB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1661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B5AA2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21CA-3433-428B-B5EB-9A6255EB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2023-04-04T08:45:00Z</cp:lastPrinted>
  <dcterms:created xsi:type="dcterms:W3CDTF">2023-04-05T08:33:00Z</dcterms:created>
  <dcterms:modified xsi:type="dcterms:W3CDTF">2023-04-05T08:33:00Z</dcterms:modified>
</cp:coreProperties>
</file>