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0"/>
        <w:gridCol w:w="2835"/>
      </w:tblGrid>
      <w:tr w:rsidR="004637C1" w:rsidTr="00C01E4A">
        <w:tc>
          <w:tcPr>
            <w:tcW w:w="3450" w:type="pct"/>
            <w:tcBorders>
              <w:top w:val="nil"/>
              <w:left w:val="nil"/>
              <w:bottom w:val="nil"/>
              <w:right w:val="nil"/>
            </w:tcBorders>
          </w:tcPr>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00" w:type="pct"/>
            <w:tcBorders>
              <w:top w:val="nil"/>
              <w:left w:val="nil"/>
              <w:bottom w:val="nil"/>
              <w:right w:val="nil"/>
            </w:tcBorders>
          </w:tcPr>
          <w:p w:rsidR="004637C1" w:rsidRDefault="004637C1" w:rsidP="00C01E4A">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14.02.2003 № 189</w:t>
            </w:r>
          </w:p>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редакции постановления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roofErr w:type="gramEnd"/>
          </w:p>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27.09.2010 № 1393)</w:t>
            </w:r>
            <w:proofErr w:type="gramEnd"/>
          </w:p>
        </w:tc>
      </w:tr>
    </w:tbl>
    <w:p w:rsidR="004637C1" w:rsidRDefault="004637C1" w:rsidP="004637C1">
      <w:pPr>
        <w:widowControl w:val="0"/>
        <w:autoSpaceDE w:val="0"/>
        <w:autoSpaceDN w:val="0"/>
        <w:adjustRightInd w:val="0"/>
        <w:spacing w:before="240" w:after="240" w:line="240" w:lineRule="auto"/>
        <w:rPr>
          <w:rFonts w:ascii="Times New Roman" w:hAnsi="Times New Roman" w:cs="Times New Roman"/>
          <w:b/>
          <w:bCs/>
          <w:color w:val="000000"/>
          <w:sz w:val="24"/>
          <w:szCs w:val="24"/>
        </w:rPr>
      </w:pPr>
      <w:bookmarkStart w:id="0" w:name="CA0|ПОЛ~~1CN~|#Заг_Утв_1"/>
      <w:bookmarkEnd w:id="0"/>
      <w:r>
        <w:rPr>
          <w:rFonts w:ascii="Times New Roman" w:hAnsi="Times New Roman" w:cs="Times New Roman"/>
          <w:b/>
          <w:bCs/>
          <w:color w:val="000000"/>
          <w:sz w:val="24"/>
          <w:szCs w:val="24"/>
        </w:rPr>
        <w:t>ПОЛОЖЕНИЕ</w:t>
      </w:r>
      <w:r>
        <w:rPr>
          <w:rFonts w:ascii="Times New Roman" w:hAnsi="Times New Roman" w:cs="Times New Roman"/>
          <w:b/>
          <w:bCs/>
          <w:color w:val="000000"/>
          <w:sz w:val="24"/>
          <w:szCs w:val="24"/>
        </w:rPr>
        <w:br/>
        <w:t>об аккумулировании и использовании бюджетными организациями средств, предназначенных на оплату топливно-энергетических ресурсов и сэкономленных от внедрения энергосберегающего оборудования и материалов</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 w:name="CA0|ПОЛ~~1|П~1~1"/>
      <w:bookmarkEnd w:id="1"/>
      <w:r>
        <w:rPr>
          <w:rFonts w:ascii="Times New Roman" w:hAnsi="Times New Roman" w:cs="Times New Roman"/>
          <w:color w:val="000000"/>
          <w:sz w:val="24"/>
          <w:szCs w:val="24"/>
        </w:rPr>
        <w:t>1. </w:t>
      </w:r>
      <w:proofErr w:type="gramStart"/>
      <w:r>
        <w:rPr>
          <w:rFonts w:ascii="Times New Roman" w:hAnsi="Times New Roman" w:cs="Times New Roman"/>
          <w:color w:val="000000"/>
          <w:sz w:val="24"/>
          <w:szCs w:val="24"/>
        </w:rPr>
        <w:t xml:space="preserve">Настоящее Положение разработано в соответствии с </w:t>
      </w:r>
      <w:hyperlink r:id="rId5" w:anchor="CA0|П~5~5|ПП~5.3~41|ПП~5.3.2~43" w:history="1">
        <w:r>
          <w:rPr>
            <w:rFonts w:ascii="Times New Roman" w:hAnsi="Times New Roman" w:cs="Times New Roman"/>
            <w:color w:val="0000FF"/>
            <w:sz w:val="24"/>
            <w:szCs w:val="24"/>
          </w:rPr>
          <w:t>подпунктом 5.3.2</w:t>
        </w:r>
      </w:hyperlink>
      <w:r>
        <w:rPr>
          <w:rFonts w:ascii="Times New Roman" w:hAnsi="Times New Roman" w:cs="Times New Roman"/>
          <w:color w:val="000000"/>
          <w:sz w:val="24"/>
          <w:szCs w:val="24"/>
        </w:rPr>
        <w:t xml:space="preserve"> пункта 5 Директивы Президента Республики Беларусь от 14 июня 2007 г. № 3 «Экономия и бережливость – главные факторы экономической безопасности государства» (Национальный реестр правовых актов Республики Беларусь, 2007 г., № 146, 1/8668) и устанавливает порядок аккумулирования и использования бюджетными организациями, финансируемыми из республиканского бюджета, за исключением республиканских органов государственного управления (далее – организации), средств</w:t>
      </w:r>
      <w:proofErr w:type="gramEnd"/>
      <w:r>
        <w:rPr>
          <w:rFonts w:ascii="Times New Roman" w:hAnsi="Times New Roman" w:cs="Times New Roman"/>
          <w:color w:val="000000"/>
          <w:sz w:val="24"/>
          <w:szCs w:val="24"/>
        </w:rPr>
        <w:t>, предназначенных на оплату топливно-энергетических ресурсов и не израсходованных ими на эти цели по причине внедрения энергосберегающего оборудования и материалов.</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 w:name="CA0|ПОЛ~~1|П~2~2"/>
      <w:bookmarkEnd w:id="2"/>
      <w:r>
        <w:rPr>
          <w:rFonts w:ascii="Times New Roman" w:hAnsi="Times New Roman" w:cs="Times New Roman"/>
          <w:color w:val="000000"/>
          <w:sz w:val="24"/>
          <w:szCs w:val="24"/>
        </w:rPr>
        <w:t>2. Республиканские органы государственного управления и иные государственные организации, подчиненные Правительству Республики Беларусь (далее – государственные органы):</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ПОЛ~~1|П~2~2|ПП~2.1~1"/>
      <w:bookmarkEnd w:id="3"/>
      <w:proofErr w:type="gramStart"/>
      <w:r>
        <w:rPr>
          <w:rFonts w:ascii="Times New Roman" w:hAnsi="Times New Roman" w:cs="Times New Roman"/>
          <w:color w:val="000000"/>
          <w:sz w:val="24"/>
          <w:szCs w:val="24"/>
        </w:rPr>
        <w:t>2.1. ежегодно при подготовке материалов для разработки проекта республиканского бюджета на очередной финансовый год выполняют расчеты суммарной годовой (с квартальным распределением) потребности подчиненных (входящих в состав) организаций в бюджетных средствах на оплату топливно-энергетических ресурсов (далее – ТЭР) в соответствии с порядком расчета потребности организаций, финансируемых из республиканского бюджета, в ТЭР, устанавливаемым Государственным комитетом по стандартизации по согласованию с Министерством финансов;</w:t>
      </w:r>
      <w:proofErr w:type="gramEnd"/>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 w:name="CA0|ПОЛ~~1|П~2~2|ПП~2.2~2"/>
      <w:bookmarkEnd w:id="4"/>
      <w:r>
        <w:rPr>
          <w:rFonts w:ascii="Times New Roman" w:hAnsi="Times New Roman" w:cs="Times New Roman"/>
          <w:color w:val="000000"/>
          <w:sz w:val="24"/>
          <w:szCs w:val="24"/>
        </w:rPr>
        <w:t>2.2. в пределах ассигнований, предусмотренных законом Республики Беларусь о республиканском бюджете, обеспечивают сбалансированность расходов и плановых ассигнований подчиненных (входящих в состав) организаций для оплаты ТЭР.</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 w:name="CA0|ПОЛ~~1|П~3~3"/>
      <w:bookmarkEnd w:id="5"/>
      <w:r>
        <w:rPr>
          <w:rFonts w:ascii="Times New Roman" w:hAnsi="Times New Roman" w:cs="Times New Roman"/>
          <w:color w:val="000000"/>
          <w:sz w:val="24"/>
          <w:szCs w:val="24"/>
        </w:rPr>
        <w:t>3. В течение финансового года, следующего за годом внедрения энергосберегающего оборудования и материалов, организации ежеквартально до 25-го числа месяца, следующего за отчетным кварталом, осуществляют расчеты экономии ТЭР и экономии бюджетных средств и направляют их в государственные органы, которым они подчинены (в состав которых входят).</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Экономия бюджетных средств определяется исходя из объема фактически сэкономленных ТЭР в отчетный период как разность между запланированными организацией ассигнованиями для оплаты ТЭР и фактическим расходом с учетом сопоставимости условий потребления ТЭР в этот отчетный период (квартал, год) (далее – сэкономленные средства).</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ПОЛ~~1|П~4~4"/>
      <w:bookmarkEnd w:id="6"/>
      <w:r>
        <w:rPr>
          <w:rFonts w:ascii="Times New Roman" w:hAnsi="Times New Roman" w:cs="Times New Roman"/>
          <w:color w:val="000000"/>
          <w:sz w:val="24"/>
          <w:szCs w:val="24"/>
        </w:rPr>
        <w:t>4. Государственные органы ежеквартально:</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30-го числа месяца, следующего за отчетным кварталом, проводят сверку расчетов, указанных в </w:t>
      </w:r>
      <w:hyperlink r:id="rId6" w:anchor="CA0|ПОЛ~~1|П~3~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настоящего Положения;</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направляют в Департамент по </w:t>
      </w:r>
      <w:proofErr w:type="spellStart"/>
      <w:r>
        <w:rPr>
          <w:rFonts w:ascii="Times New Roman" w:hAnsi="Times New Roman" w:cs="Times New Roman"/>
          <w:color w:val="000000"/>
          <w:sz w:val="24"/>
          <w:szCs w:val="24"/>
        </w:rPr>
        <w:t>энергоэффективности</w:t>
      </w:r>
      <w:proofErr w:type="spellEnd"/>
      <w:r>
        <w:rPr>
          <w:rFonts w:ascii="Times New Roman" w:hAnsi="Times New Roman" w:cs="Times New Roman"/>
          <w:color w:val="000000"/>
          <w:sz w:val="24"/>
          <w:szCs w:val="24"/>
        </w:rPr>
        <w:t xml:space="preserve"> Государственного комитета по </w:t>
      </w:r>
      <w:r>
        <w:rPr>
          <w:rFonts w:ascii="Times New Roman" w:hAnsi="Times New Roman" w:cs="Times New Roman"/>
          <w:color w:val="000000"/>
          <w:sz w:val="24"/>
          <w:szCs w:val="24"/>
        </w:rPr>
        <w:lastRenderedPageBreak/>
        <w:t xml:space="preserve">стандартизации на согласование расчеты экономии ТЭР (далее – расчеты) подчиненными (входящими в их состав) организациями от внедрения ими энергосберегающего оборудования и материалов по форме согласно </w:t>
      </w:r>
      <w:hyperlink r:id="rId7" w:anchor="Прил_1_Утв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и заявку о направлениях использования до 50 процентов сэкономленных средств (далее – заявка) по этим организациям от внедрения энергосберегающего оборудования и материалов по форме согласно </w:t>
      </w:r>
      <w:hyperlink r:id="rId8" w:anchor="Прил_2_Утв_1" w:history="1">
        <w:r>
          <w:rPr>
            <w:rFonts w:ascii="Times New Roman" w:hAnsi="Times New Roman" w:cs="Times New Roman"/>
            <w:color w:val="0000FF"/>
            <w:sz w:val="24"/>
            <w:szCs w:val="24"/>
          </w:rPr>
          <w:t>приложению 2</w:t>
        </w:r>
        <w:proofErr w:type="gramEnd"/>
      </w:hyperlink>
      <w:r>
        <w:rPr>
          <w:rFonts w:ascii="Times New Roman" w:hAnsi="Times New Roman" w:cs="Times New Roman"/>
          <w:color w:val="000000"/>
          <w:sz w:val="24"/>
          <w:szCs w:val="24"/>
        </w:rPr>
        <w:t>;</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представляют в Министерство финансов согласованные с Департаментом по </w:t>
      </w:r>
      <w:proofErr w:type="spellStart"/>
      <w:r>
        <w:rPr>
          <w:rFonts w:ascii="Times New Roman" w:hAnsi="Times New Roman" w:cs="Times New Roman"/>
          <w:color w:val="000000"/>
          <w:sz w:val="24"/>
          <w:szCs w:val="24"/>
        </w:rPr>
        <w:t>энергоэффективности</w:t>
      </w:r>
      <w:proofErr w:type="spellEnd"/>
      <w:r>
        <w:rPr>
          <w:rFonts w:ascii="Times New Roman" w:hAnsi="Times New Roman" w:cs="Times New Roman"/>
          <w:color w:val="000000"/>
          <w:sz w:val="24"/>
          <w:szCs w:val="24"/>
        </w:rPr>
        <w:t xml:space="preserve"> Государственного комитета по стандартизации расчеты и заявку.</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ПОЛ~~1|П~5~5"/>
      <w:bookmarkEnd w:id="7"/>
      <w:r>
        <w:rPr>
          <w:rFonts w:ascii="Times New Roman" w:hAnsi="Times New Roman" w:cs="Times New Roman"/>
          <w:color w:val="000000"/>
          <w:sz w:val="24"/>
          <w:szCs w:val="24"/>
        </w:rPr>
        <w:t>5. Министерство финансов ежеквартально:</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сопоставление нарастающим итогом в течение финансового года объемов предусмотренных и израсходованных средств республиканского бюджета для оплаты ТЭР;</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при условии обеспечения государственными органами полной оплаты потребления энергоресурсов перераспределяет на сумму до 50 процентов сэкономленных средств расходы государственных органов, учитывая их на отдельном параграфе функциональной классификации расходов бюджетной классификации Республики Беларусь (далее – отдельный параграф) по направлениям в соответствии с </w:t>
      </w:r>
      <w:hyperlink r:id="rId9" w:anchor="CA0|ПОЛ~~1|П~6~6" w:history="1">
        <w:r>
          <w:rPr>
            <w:rFonts w:ascii="Times New Roman" w:hAnsi="Times New Roman" w:cs="Times New Roman"/>
            <w:color w:val="0000FF"/>
            <w:sz w:val="24"/>
            <w:szCs w:val="24"/>
          </w:rPr>
          <w:t>пунктом 6</w:t>
        </w:r>
      </w:hyperlink>
      <w:r>
        <w:rPr>
          <w:rFonts w:ascii="Times New Roman" w:hAnsi="Times New Roman" w:cs="Times New Roman"/>
          <w:color w:val="000000"/>
          <w:sz w:val="24"/>
          <w:szCs w:val="24"/>
        </w:rPr>
        <w:t xml:space="preserve"> настоящего Положения, в пределах расходов, предусмотренных на оплату ТЭР.</w:t>
      </w:r>
      <w:proofErr w:type="gramEnd"/>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ПОЛ~~1|П~6~6"/>
      <w:bookmarkEnd w:id="8"/>
      <w:r>
        <w:rPr>
          <w:rFonts w:ascii="Times New Roman" w:hAnsi="Times New Roman" w:cs="Times New Roman"/>
          <w:color w:val="000000"/>
          <w:sz w:val="24"/>
          <w:szCs w:val="24"/>
        </w:rPr>
        <w:t xml:space="preserve">6. Сэкономленные средства в размере до 50 процентов используются в соответствии с утверждаемыми организациями годовыми сметами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работ по внедрению энергосберегающего оборудования и материалов;</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ремонтно-наладочных работ энергосберегающего оборудования, включая поверку в установленные сроки приборов учета ТЭР;</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премирование руководителей и работников организаций.</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ПОЛ~~1|П~7~7"/>
      <w:bookmarkEnd w:id="9"/>
      <w:r>
        <w:rPr>
          <w:rFonts w:ascii="Times New Roman" w:hAnsi="Times New Roman" w:cs="Times New Roman"/>
          <w:color w:val="000000"/>
          <w:sz w:val="24"/>
          <w:szCs w:val="24"/>
        </w:rPr>
        <w:t xml:space="preserve">7. Премирование руководителей и работников организаций за результаты работы по энергосбережению производится по результатам работы за отчетный квартал в размере до 50 процентов суммы перераспределения в соответствии с </w:t>
      </w:r>
      <w:hyperlink r:id="rId10" w:anchor="CA0|ПОЛ~~1|П~5~5"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настоящего Положения, если в организации:</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действует приборный учет потребления тепловой и электрической энергии, природного газа, воды;</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обеспечивается полная оплата потребления ТЭР.</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ПОЛ~~1|П~8~8"/>
      <w:bookmarkEnd w:id="10"/>
      <w:r>
        <w:rPr>
          <w:rFonts w:ascii="Times New Roman" w:hAnsi="Times New Roman" w:cs="Times New Roman"/>
          <w:color w:val="000000"/>
          <w:sz w:val="24"/>
          <w:szCs w:val="24"/>
        </w:rPr>
        <w:t>8. </w:t>
      </w:r>
      <w:proofErr w:type="gramStart"/>
      <w:r>
        <w:rPr>
          <w:rFonts w:ascii="Times New Roman" w:hAnsi="Times New Roman" w:cs="Times New Roman"/>
          <w:color w:val="000000"/>
          <w:sz w:val="24"/>
          <w:szCs w:val="24"/>
        </w:rPr>
        <w:t>Использование сэкономленных средств в размере до 50 процентов (за отчетный квартал, год), в том числе на премирование руководителей и работников организаций, производится в финансовом году, следующем за годом внедрения энергосберегающего оборудования и материалов, за счет средств, предусмотренных в республиканском бюджете на содержание бюджетных организаций, в объеме, не превышающем остатка средств, учтенных в отдельном параграфе.</w:t>
      </w:r>
      <w:proofErr w:type="gramEnd"/>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восстановления этих средств соответствующие предложения могут быть внесены в установленном порядке при подготовке нормативного правового акта об уточнении показателей республиканского бюджета.</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A0|ПОЛ~~1|П~9~9"/>
      <w:bookmarkEnd w:id="11"/>
      <w:r>
        <w:rPr>
          <w:rFonts w:ascii="Times New Roman" w:hAnsi="Times New Roman" w:cs="Times New Roman"/>
          <w:color w:val="000000"/>
          <w:sz w:val="24"/>
          <w:szCs w:val="24"/>
        </w:rPr>
        <w:t>9. Порядок премирования, включая показатели, условия и размеры премирования, руководителей организаций устанавливается государственными органами, работников организаций – положениями о премировании, утвержденными руководителями организаций.</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ПОЛ~~1|П~10~10"/>
      <w:bookmarkEnd w:id="12"/>
      <w:r>
        <w:rPr>
          <w:rFonts w:ascii="Times New Roman" w:hAnsi="Times New Roman" w:cs="Times New Roman"/>
          <w:color w:val="000000"/>
          <w:sz w:val="24"/>
          <w:szCs w:val="24"/>
        </w:rPr>
        <w:t>10. 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целевым использованием перераспределенных в соответствии с </w:t>
      </w:r>
      <w:hyperlink r:id="rId11" w:anchor="CA0|ПОЛ~~1|П~5~5"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настоящего Положения средств осуществляют государственные органы и Министерство финансов.</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5000" w:type="pct"/>
        <w:tblLayout w:type="fixed"/>
        <w:tblCellMar>
          <w:left w:w="0" w:type="dxa"/>
          <w:right w:w="0" w:type="dxa"/>
        </w:tblCellMar>
        <w:tblLook w:val="0000" w:firstRow="0" w:lastRow="0" w:firstColumn="0" w:lastColumn="0" w:noHBand="0" w:noVBand="0"/>
      </w:tblPr>
      <w:tblGrid>
        <w:gridCol w:w="5198"/>
        <w:gridCol w:w="4157"/>
      </w:tblGrid>
      <w:tr w:rsidR="004637C1" w:rsidTr="00C01E4A">
        <w:tc>
          <w:tcPr>
            <w:tcW w:w="2750" w:type="pct"/>
            <w:tcBorders>
              <w:top w:val="nil"/>
              <w:left w:val="nil"/>
              <w:bottom w:val="nil"/>
              <w:right w:val="nil"/>
            </w:tcBorders>
          </w:tcPr>
          <w:p w:rsidR="004637C1" w:rsidRDefault="004637C1" w:rsidP="00C01E4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00" w:type="pct"/>
            <w:tcBorders>
              <w:top w:val="nil"/>
              <w:left w:val="nil"/>
              <w:bottom w:val="nil"/>
              <w:right w:val="nil"/>
            </w:tcBorders>
          </w:tcPr>
          <w:p w:rsidR="004637C1" w:rsidRDefault="004637C1" w:rsidP="00C01E4A">
            <w:pPr>
              <w:widowControl w:val="0"/>
              <w:autoSpaceDE w:val="0"/>
              <w:autoSpaceDN w:val="0"/>
              <w:adjustRightInd w:val="0"/>
              <w:spacing w:after="30" w:line="240" w:lineRule="auto"/>
              <w:rPr>
                <w:rFonts w:ascii="Times New Roman" w:hAnsi="Times New Roman" w:cs="Times New Roman"/>
                <w:color w:val="000000"/>
                <w:sz w:val="24"/>
                <w:szCs w:val="24"/>
              </w:rPr>
            </w:pPr>
            <w:bookmarkStart w:id="13" w:name="CA0|ПОЛ~~1|ПРЛ~~1CN~|#Прил_1_Утв_1"/>
            <w:bookmarkEnd w:id="13"/>
            <w:r>
              <w:rPr>
                <w:rFonts w:ascii="Times New Roman" w:hAnsi="Times New Roman" w:cs="Times New Roman"/>
                <w:color w:val="000000"/>
                <w:sz w:val="24"/>
                <w:szCs w:val="24"/>
              </w:rPr>
              <w:t>Приложение 1</w:t>
            </w:r>
          </w:p>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об аккумулировании</w:t>
            </w:r>
            <w:r>
              <w:rPr>
                <w:rFonts w:ascii="Times New Roman" w:hAnsi="Times New Roman" w:cs="Times New Roman"/>
                <w:color w:val="000000"/>
                <w:sz w:val="24"/>
                <w:szCs w:val="24"/>
              </w:rPr>
              <w:br/>
              <w:t xml:space="preserve">и использовании бюджетными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организациями средств, предназначенных </w:t>
            </w:r>
            <w:r>
              <w:rPr>
                <w:rFonts w:ascii="Times New Roman" w:hAnsi="Times New Roman" w:cs="Times New Roman"/>
                <w:color w:val="000000"/>
                <w:sz w:val="24"/>
                <w:szCs w:val="24"/>
              </w:rPr>
              <w:br/>
              <w:t xml:space="preserve">на оплату топливно-энергетических </w:t>
            </w:r>
            <w:r>
              <w:rPr>
                <w:rFonts w:ascii="Times New Roman" w:hAnsi="Times New Roman" w:cs="Times New Roman"/>
                <w:color w:val="000000"/>
                <w:sz w:val="24"/>
                <w:szCs w:val="24"/>
              </w:rPr>
              <w:br/>
              <w:t xml:space="preserve">ресурсов и сэкономленных от внедрения </w:t>
            </w:r>
            <w:r>
              <w:rPr>
                <w:rFonts w:ascii="Times New Roman" w:hAnsi="Times New Roman" w:cs="Times New Roman"/>
                <w:color w:val="000000"/>
                <w:sz w:val="24"/>
                <w:szCs w:val="24"/>
              </w:rPr>
              <w:br/>
              <w:t>энергосберегающего оборудования</w:t>
            </w:r>
            <w:r>
              <w:rPr>
                <w:rFonts w:ascii="Times New Roman" w:hAnsi="Times New Roman" w:cs="Times New Roman"/>
                <w:color w:val="000000"/>
                <w:sz w:val="24"/>
                <w:szCs w:val="24"/>
              </w:rPr>
              <w:br/>
              <w:t xml:space="preserve">и материалов </w:t>
            </w:r>
          </w:p>
        </w:tc>
      </w:tr>
    </w:tbl>
    <w:p w:rsidR="004637C1" w:rsidRDefault="004637C1" w:rsidP="004637C1">
      <w:pPr>
        <w:widowControl w:val="0"/>
        <w:autoSpaceDE w:val="0"/>
        <w:autoSpaceDN w:val="0"/>
        <w:adjustRightInd w:val="0"/>
        <w:spacing w:before="240" w:after="0" w:line="240" w:lineRule="auto"/>
        <w:jc w:val="center"/>
        <w:rPr>
          <w:rFonts w:ascii="Times New Roman" w:hAnsi="Times New Roman" w:cs="Times New Roman"/>
          <w:b/>
          <w:bCs/>
          <w:color w:val="000000"/>
          <w:sz w:val="24"/>
          <w:szCs w:val="24"/>
        </w:rPr>
      </w:pPr>
      <w:bookmarkStart w:id="14" w:name="CN~|#Заг_Прил_1_Утв_1"/>
      <w:bookmarkEnd w:id="14"/>
      <w:r>
        <w:rPr>
          <w:rFonts w:ascii="Times New Roman" w:hAnsi="Times New Roman" w:cs="Times New Roman"/>
          <w:b/>
          <w:bCs/>
          <w:color w:val="000000"/>
          <w:sz w:val="24"/>
          <w:szCs w:val="24"/>
        </w:rPr>
        <w:lastRenderedPageBreak/>
        <w:t>Расчет экономии топливно-энергетических ресурсов (ТЭР)</w:t>
      </w:r>
      <w:r>
        <w:rPr>
          <w:rFonts w:ascii="Times New Roman" w:hAnsi="Times New Roman" w:cs="Times New Roman"/>
          <w:b/>
          <w:bCs/>
          <w:color w:val="000000"/>
          <w:sz w:val="24"/>
          <w:szCs w:val="24"/>
        </w:rPr>
        <w:br/>
        <w:t xml:space="preserve">от внедрения энергосберегающего оборудования и материалов </w:t>
      </w:r>
    </w:p>
    <w:p w:rsidR="004637C1" w:rsidRDefault="004637C1" w:rsidP="004637C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__________________________________________________________________________</w:t>
      </w:r>
    </w:p>
    <w:p w:rsidR="004637C1" w:rsidRDefault="004637C1" w:rsidP="004637C1">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(наименование республиканского органа государственного управления,</w:t>
      </w:r>
      <w:proofErr w:type="gramEnd"/>
    </w:p>
    <w:p w:rsidR="004637C1" w:rsidRDefault="004637C1" w:rsidP="004637C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иной государственной организации, подчиненной Правительству Республики Беларусь)</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5000" w:type="pct"/>
        <w:tblLayout w:type="fixed"/>
        <w:tblCellMar>
          <w:left w:w="0" w:type="dxa"/>
          <w:right w:w="0" w:type="dxa"/>
        </w:tblCellMar>
        <w:tblLook w:val="0000" w:firstRow="0" w:lastRow="0" w:firstColumn="0" w:lastColumn="0" w:noHBand="0" w:noVBand="0"/>
      </w:tblPr>
      <w:tblGrid>
        <w:gridCol w:w="297"/>
        <w:gridCol w:w="2167"/>
        <w:gridCol w:w="1083"/>
        <w:gridCol w:w="1476"/>
        <w:gridCol w:w="1182"/>
        <w:gridCol w:w="1575"/>
        <w:gridCol w:w="1575"/>
      </w:tblGrid>
      <w:tr w:rsidR="004637C1" w:rsidTr="00C01E4A">
        <w:trPr>
          <w:trHeight w:val="240"/>
        </w:trPr>
        <w:tc>
          <w:tcPr>
            <w:tcW w:w="150" w:type="pct"/>
            <w:vMerge w:val="restart"/>
            <w:tcBorders>
              <w:top w:val="single" w:sz="6" w:space="0" w:color="000000"/>
              <w:left w:val="nil"/>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1100" w:type="pct"/>
            <w:vMerge w:val="restar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и мероприятия</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внедрения</w:t>
            </w:r>
          </w:p>
        </w:tc>
        <w:tc>
          <w:tcPr>
            <w:tcW w:w="1350" w:type="pct"/>
            <w:gridSpan w:val="2"/>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Экономия ТЭР нарастающим итогом </w:t>
            </w:r>
            <w:proofErr w:type="gramStart"/>
            <w:r>
              <w:rPr>
                <w:rFonts w:ascii="Times New Roman" w:hAnsi="Times New Roman" w:cs="Times New Roman"/>
                <w:color w:val="000000"/>
                <w:sz w:val="24"/>
                <w:szCs w:val="24"/>
              </w:rPr>
              <w:t>с даты внедрения</w:t>
            </w:r>
            <w:proofErr w:type="gramEnd"/>
            <w:r>
              <w:rPr>
                <w:rFonts w:ascii="Times New Roman" w:hAnsi="Times New Roman" w:cs="Times New Roman"/>
                <w:color w:val="000000"/>
                <w:sz w:val="24"/>
                <w:szCs w:val="24"/>
              </w:rPr>
              <w:t xml:space="preserve"> энергосберегающего оборудования и материалов в натуральном выражении</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Тариф, тыс. рублей</w:t>
            </w:r>
          </w:p>
        </w:tc>
        <w:tc>
          <w:tcPr>
            <w:tcW w:w="800" w:type="pct"/>
            <w:vMerge w:val="restart"/>
            <w:tcBorders>
              <w:top w:val="single" w:sz="6" w:space="0" w:color="000000"/>
              <w:left w:val="single" w:sz="6" w:space="0" w:color="000000"/>
              <w:bottom w:val="single" w:sz="6" w:space="0" w:color="000000"/>
              <w:right w:val="nil"/>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Экономия ТЭР в денежном выражении, тыс. рублей</w:t>
            </w:r>
          </w:p>
        </w:tc>
      </w:tr>
      <w:tr w:rsidR="004637C1" w:rsidTr="00C01E4A">
        <w:tc>
          <w:tcPr>
            <w:tcW w:w="480" w:type="dxa"/>
            <w:vMerge/>
            <w:tcBorders>
              <w:top w:val="single" w:sz="6" w:space="0" w:color="000000"/>
              <w:left w:val="nil"/>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600" w:type="dxa"/>
            <w:vMerge/>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т.у.</w:t>
            </w:r>
            <w:proofErr w:type="gramStart"/>
            <w:r>
              <w:rPr>
                <w:rFonts w:ascii="Times New Roman" w:hAnsi="Times New Roman" w:cs="Times New Roman"/>
                <w:color w:val="000000"/>
                <w:sz w:val="24"/>
                <w:szCs w:val="24"/>
              </w:rPr>
              <w:t>т</w:t>
            </w:r>
            <w:proofErr w:type="spellEnd"/>
            <w:proofErr w:type="gramEnd"/>
            <w:r>
              <w:rPr>
                <w:rFonts w:ascii="Times New Roman" w:hAnsi="Times New Roman" w:cs="Times New Roman"/>
                <w:color w:val="000000"/>
                <w:sz w:val="24"/>
                <w:szCs w:val="24"/>
              </w:rPr>
              <w:t>.</w:t>
            </w:r>
          </w:p>
        </w:tc>
        <w:tc>
          <w:tcPr>
            <w:tcW w:w="6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кВт·</w:t>
            </w:r>
            <w:proofErr w:type="gramStart"/>
            <w:r>
              <w:rPr>
                <w:rFonts w:ascii="Times New Roman" w:hAnsi="Times New Roman" w:cs="Times New Roman"/>
                <w:color w:val="000000"/>
                <w:sz w:val="24"/>
                <w:szCs w:val="24"/>
              </w:rPr>
              <w:t>ч</w:t>
            </w:r>
            <w:proofErr w:type="spellEnd"/>
            <w:proofErr w:type="gramEnd"/>
            <w:r>
              <w:rPr>
                <w:rFonts w:ascii="Times New Roman" w:hAnsi="Times New Roman" w:cs="Times New Roman"/>
                <w:color w:val="000000"/>
                <w:sz w:val="24"/>
                <w:szCs w:val="24"/>
              </w:rPr>
              <w:t>, Гкал, тонн</w:t>
            </w:r>
          </w:p>
        </w:tc>
        <w:tc>
          <w:tcPr>
            <w:tcW w:w="2640" w:type="dxa"/>
            <w:vMerge/>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
        </w:tc>
        <w:tc>
          <w:tcPr>
            <w:tcW w:w="2610" w:type="dxa"/>
            <w:vMerge/>
            <w:tcBorders>
              <w:top w:val="single" w:sz="6" w:space="0" w:color="000000"/>
              <w:left w:val="single" w:sz="6" w:space="0" w:color="000000"/>
              <w:bottom w:val="single" w:sz="6" w:space="0" w:color="000000"/>
              <w:right w:val="nil"/>
            </w:tcBorders>
            <w:vAlign w:val="center"/>
          </w:tcPr>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p>
        </w:tc>
      </w:tr>
      <w:tr w:rsidR="004637C1" w:rsidTr="00C01E4A">
        <w:tc>
          <w:tcPr>
            <w:tcW w:w="150" w:type="pct"/>
            <w:tcBorders>
              <w:top w:val="single" w:sz="6" w:space="0" w:color="000000"/>
              <w:left w:val="nil"/>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00" w:type="pct"/>
            <w:tcBorders>
              <w:top w:val="single" w:sz="6" w:space="0" w:color="000000"/>
              <w:left w:val="single" w:sz="6" w:space="0" w:color="000000"/>
              <w:bottom w:val="single" w:sz="6" w:space="0" w:color="000000"/>
              <w:right w:val="nil"/>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4637C1" w:rsidTr="00C01E4A">
        <w:tc>
          <w:tcPr>
            <w:tcW w:w="150" w:type="pct"/>
            <w:tcBorders>
              <w:top w:val="single" w:sz="6" w:space="0" w:color="000000"/>
              <w:left w:val="nil"/>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0" w:type="pct"/>
            <w:tcBorders>
              <w:top w:val="single" w:sz="6" w:space="0" w:color="000000"/>
              <w:left w:val="single" w:sz="6" w:space="0" w:color="000000"/>
              <w:bottom w:val="nil"/>
              <w:right w:val="nil"/>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5000" w:type="pct"/>
        <w:tblLayout w:type="fixed"/>
        <w:tblCellMar>
          <w:left w:w="0" w:type="dxa"/>
          <w:right w:w="0" w:type="dxa"/>
        </w:tblCellMar>
        <w:tblLook w:val="0000" w:firstRow="0" w:lastRow="0" w:firstColumn="0" w:lastColumn="0" w:noHBand="0" w:noVBand="0"/>
      </w:tblPr>
      <w:tblGrid>
        <w:gridCol w:w="4535"/>
        <w:gridCol w:w="1701"/>
        <w:gridCol w:w="3119"/>
      </w:tblGrid>
      <w:tr w:rsidR="004637C1" w:rsidTr="00C01E4A">
        <w:trPr>
          <w:trHeight w:val="240"/>
        </w:trPr>
        <w:tc>
          <w:tcPr>
            <w:tcW w:w="240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__________________</w:t>
            </w:r>
          </w:p>
        </w:tc>
        <w:tc>
          <w:tcPr>
            <w:tcW w:w="90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r>
      <w:tr w:rsidR="004637C1" w:rsidTr="00C01E4A">
        <w:trPr>
          <w:trHeight w:val="240"/>
        </w:trPr>
        <w:tc>
          <w:tcPr>
            <w:tcW w:w="2400" w:type="pct"/>
            <w:tcBorders>
              <w:top w:val="nil"/>
              <w:left w:val="nil"/>
              <w:bottom w:val="nil"/>
              <w:right w:val="nil"/>
            </w:tcBorders>
          </w:tcPr>
          <w:p w:rsidR="004637C1" w:rsidRDefault="004637C1" w:rsidP="00C01E4A">
            <w:pPr>
              <w:widowControl w:val="0"/>
              <w:autoSpaceDE w:val="0"/>
              <w:autoSpaceDN w:val="0"/>
              <w:adjustRightInd w:val="0"/>
              <w:spacing w:after="0" w:line="240" w:lineRule="auto"/>
              <w:ind w:firstLine="216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90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5000" w:type="pct"/>
        <w:tblLayout w:type="fixed"/>
        <w:tblCellMar>
          <w:left w:w="0" w:type="dxa"/>
          <w:right w:w="0" w:type="dxa"/>
        </w:tblCellMar>
        <w:tblLook w:val="0000" w:firstRow="0" w:lastRow="0" w:firstColumn="0" w:lastColumn="0" w:noHBand="0" w:noVBand="0"/>
      </w:tblPr>
      <w:tblGrid>
        <w:gridCol w:w="5198"/>
        <w:gridCol w:w="4157"/>
      </w:tblGrid>
      <w:tr w:rsidR="004637C1" w:rsidTr="00C01E4A">
        <w:tc>
          <w:tcPr>
            <w:tcW w:w="2750" w:type="pct"/>
            <w:tcBorders>
              <w:top w:val="nil"/>
              <w:left w:val="nil"/>
              <w:bottom w:val="nil"/>
              <w:right w:val="nil"/>
            </w:tcBorders>
          </w:tcPr>
          <w:p w:rsidR="004637C1" w:rsidRDefault="004637C1" w:rsidP="00C01E4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00" w:type="pct"/>
            <w:tcBorders>
              <w:top w:val="nil"/>
              <w:left w:val="nil"/>
              <w:bottom w:val="nil"/>
              <w:right w:val="nil"/>
            </w:tcBorders>
          </w:tcPr>
          <w:p w:rsidR="004637C1" w:rsidRDefault="004637C1" w:rsidP="00C01E4A">
            <w:pPr>
              <w:widowControl w:val="0"/>
              <w:autoSpaceDE w:val="0"/>
              <w:autoSpaceDN w:val="0"/>
              <w:adjustRightInd w:val="0"/>
              <w:spacing w:after="30" w:line="240" w:lineRule="auto"/>
              <w:rPr>
                <w:rFonts w:ascii="Times New Roman" w:hAnsi="Times New Roman" w:cs="Times New Roman"/>
                <w:color w:val="000000"/>
                <w:sz w:val="24"/>
                <w:szCs w:val="24"/>
              </w:rPr>
            </w:pPr>
            <w:bookmarkStart w:id="15" w:name="CA0|ПОЛ~~1|ПРЛ~~2CN~|#Прил_2_Утв_1"/>
            <w:bookmarkEnd w:id="15"/>
            <w:r>
              <w:rPr>
                <w:rFonts w:ascii="Times New Roman" w:hAnsi="Times New Roman" w:cs="Times New Roman"/>
                <w:color w:val="000000"/>
                <w:sz w:val="24"/>
                <w:szCs w:val="24"/>
              </w:rPr>
              <w:t>Приложение 2</w:t>
            </w:r>
          </w:p>
          <w:p w:rsidR="004637C1" w:rsidRDefault="004637C1" w:rsidP="00C01E4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об аккумулировании</w:t>
            </w:r>
            <w:r>
              <w:rPr>
                <w:rFonts w:ascii="Times New Roman" w:hAnsi="Times New Roman" w:cs="Times New Roman"/>
                <w:color w:val="000000"/>
                <w:sz w:val="24"/>
                <w:szCs w:val="24"/>
              </w:rPr>
              <w:br/>
              <w:t xml:space="preserve">и использовании бюджетными </w:t>
            </w:r>
            <w:r>
              <w:rPr>
                <w:rFonts w:ascii="Times New Roman" w:hAnsi="Times New Roman" w:cs="Times New Roman"/>
                <w:color w:val="000000"/>
                <w:sz w:val="24"/>
                <w:szCs w:val="24"/>
              </w:rPr>
              <w:br/>
              <w:t xml:space="preserve">организациями средств, предназначенных </w:t>
            </w:r>
            <w:r>
              <w:rPr>
                <w:rFonts w:ascii="Times New Roman" w:hAnsi="Times New Roman" w:cs="Times New Roman"/>
                <w:color w:val="000000"/>
                <w:sz w:val="24"/>
                <w:szCs w:val="24"/>
              </w:rPr>
              <w:br/>
              <w:t xml:space="preserve">на оплату топливно-энергетических </w:t>
            </w:r>
            <w:r>
              <w:rPr>
                <w:rFonts w:ascii="Times New Roman" w:hAnsi="Times New Roman" w:cs="Times New Roman"/>
                <w:color w:val="000000"/>
                <w:sz w:val="24"/>
                <w:szCs w:val="24"/>
              </w:rPr>
              <w:br/>
              <w:t xml:space="preserve">ресурсов и сэкономленных от внедрения </w:t>
            </w:r>
            <w:r>
              <w:rPr>
                <w:rFonts w:ascii="Times New Roman" w:hAnsi="Times New Roman" w:cs="Times New Roman"/>
                <w:color w:val="000000"/>
                <w:sz w:val="24"/>
                <w:szCs w:val="24"/>
              </w:rPr>
              <w:br/>
              <w:t>энергосберегающего оборудования</w:t>
            </w:r>
            <w:r>
              <w:rPr>
                <w:rFonts w:ascii="Times New Roman" w:hAnsi="Times New Roman" w:cs="Times New Roman"/>
                <w:color w:val="000000"/>
                <w:sz w:val="24"/>
                <w:szCs w:val="24"/>
              </w:rPr>
              <w:br/>
              <w:t xml:space="preserve">и материалов </w:t>
            </w:r>
          </w:p>
        </w:tc>
      </w:tr>
    </w:tbl>
    <w:p w:rsidR="004637C1" w:rsidRDefault="004637C1" w:rsidP="004637C1">
      <w:pPr>
        <w:widowControl w:val="0"/>
        <w:autoSpaceDE w:val="0"/>
        <w:autoSpaceDN w:val="0"/>
        <w:adjustRightInd w:val="0"/>
        <w:spacing w:before="240" w:after="0" w:line="240" w:lineRule="auto"/>
        <w:jc w:val="center"/>
        <w:rPr>
          <w:rFonts w:ascii="Times New Roman" w:hAnsi="Times New Roman" w:cs="Times New Roman"/>
          <w:b/>
          <w:bCs/>
          <w:color w:val="000000"/>
          <w:sz w:val="24"/>
          <w:szCs w:val="24"/>
        </w:rPr>
      </w:pPr>
      <w:bookmarkStart w:id="16" w:name="CN~|#Заг_Прил_2_Утв_1"/>
      <w:bookmarkEnd w:id="16"/>
      <w:r>
        <w:rPr>
          <w:rFonts w:ascii="Times New Roman" w:hAnsi="Times New Roman" w:cs="Times New Roman"/>
          <w:b/>
          <w:bCs/>
          <w:color w:val="000000"/>
          <w:sz w:val="24"/>
          <w:szCs w:val="24"/>
        </w:rPr>
        <w:t>Заявка о направлениях использования до 50 процентов сэкономленных</w:t>
      </w:r>
      <w:r>
        <w:rPr>
          <w:rFonts w:ascii="Times New Roman" w:hAnsi="Times New Roman" w:cs="Times New Roman"/>
          <w:b/>
          <w:bCs/>
          <w:color w:val="000000"/>
          <w:sz w:val="24"/>
          <w:szCs w:val="24"/>
        </w:rPr>
        <w:br/>
        <w:t>от внедрения энергосберегающего оборудования и материалов средств</w:t>
      </w:r>
    </w:p>
    <w:p w:rsidR="004637C1" w:rsidRDefault="004637C1" w:rsidP="004637C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_________________________________________________________________________</w:t>
      </w:r>
    </w:p>
    <w:p w:rsidR="004637C1" w:rsidRDefault="004637C1" w:rsidP="004637C1">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(наименование республиканского органа государственного управления,</w:t>
      </w:r>
      <w:proofErr w:type="gramEnd"/>
    </w:p>
    <w:p w:rsidR="004637C1" w:rsidRDefault="004637C1" w:rsidP="004637C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иной государственной организации, подчиненной Правительству Республики Беларусь)</w:t>
      </w:r>
    </w:p>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5000" w:type="pct"/>
        <w:tblLayout w:type="fixed"/>
        <w:tblCellMar>
          <w:left w:w="0" w:type="dxa"/>
          <w:right w:w="0" w:type="dxa"/>
        </w:tblCellMar>
        <w:tblLook w:val="0000" w:firstRow="0" w:lastRow="0" w:firstColumn="0" w:lastColumn="0" w:noHBand="0" w:noVBand="0"/>
      </w:tblPr>
      <w:tblGrid>
        <w:gridCol w:w="476"/>
        <w:gridCol w:w="2483"/>
        <w:gridCol w:w="2483"/>
        <w:gridCol w:w="1718"/>
        <w:gridCol w:w="2195"/>
      </w:tblGrid>
      <w:tr w:rsidR="004637C1" w:rsidTr="00C01E4A">
        <w:trPr>
          <w:trHeight w:val="240"/>
        </w:trPr>
        <w:tc>
          <w:tcPr>
            <w:tcW w:w="250" w:type="pct"/>
            <w:tcBorders>
              <w:top w:val="single" w:sz="6" w:space="0" w:color="000000"/>
              <w:left w:val="nil"/>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13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и мероприятия</w:t>
            </w:r>
          </w:p>
        </w:tc>
        <w:tc>
          <w:tcPr>
            <w:tcW w:w="13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Ожидаемый экономический эффект от внедрения мероприятия, </w:t>
            </w:r>
            <w:proofErr w:type="spellStart"/>
            <w:r>
              <w:rPr>
                <w:rFonts w:ascii="Times New Roman" w:hAnsi="Times New Roman" w:cs="Times New Roman"/>
                <w:color w:val="000000"/>
                <w:sz w:val="24"/>
                <w:szCs w:val="24"/>
              </w:rPr>
              <w:t>т.у.</w:t>
            </w:r>
            <w:proofErr w:type="gramStart"/>
            <w:r>
              <w:rPr>
                <w:rFonts w:ascii="Times New Roman" w:hAnsi="Times New Roman" w:cs="Times New Roman"/>
                <w:color w:val="000000"/>
                <w:sz w:val="24"/>
                <w:szCs w:val="24"/>
              </w:rPr>
              <w:t>т</w:t>
            </w:r>
            <w:proofErr w:type="spellEnd"/>
            <w:proofErr w:type="gramEnd"/>
            <w:r>
              <w:rPr>
                <w:rFonts w:ascii="Times New Roman" w:hAnsi="Times New Roman" w:cs="Times New Roman"/>
                <w:color w:val="000000"/>
                <w:sz w:val="24"/>
                <w:szCs w:val="24"/>
              </w:rPr>
              <w:t>.</w:t>
            </w:r>
          </w:p>
        </w:tc>
        <w:tc>
          <w:tcPr>
            <w:tcW w:w="9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окупаемости, лет</w:t>
            </w:r>
          </w:p>
        </w:tc>
        <w:tc>
          <w:tcPr>
            <w:tcW w:w="1150" w:type="pct"/>
            <w:tcBorders>
              <w:top w:val="single" w:sz="6" w:space="0" w:color="000000"/>
              <w:left w:val="single" w:sz="6" w:space="0" w:color="000000"/>
              <w:bottom w:val="single" w:sz="6" w:space="0" w:color="000000"/>
              <w:right w:val="nil"/>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Общий объем финансирования, тыс. рублей</w:t>
            </w:r>
          </w:p>
        </w:tc>
      </w:tr>
      <w:tr w:rsidR="004637C1" w:rsidTr="00C01E4A">
        <w:trPr>
          <w:trHeight w:val="240"/>
        </w:trPr>
        <w:tc>
          <w:tcPr>
            <w:tcW w:w="250" w:type="pct"/>
            <w:tcBorders>
              <w:top w:val="single" w:sz="6" w:space="0" w:color="000000"/>
              <w:left w:val="nil"/>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00" w:type="pct"/>
            <w:tcBorders>
              <w:top w:val="single" w:sz="6" w:space="0" w:color="000000"/>
              <w:left w:val="single" w:sz="6" w:space="0" w:color="000000"/>
              <w:bottom w:val="single" w:sz="6" w:space="0" w:color="000000"/>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50" w:type="pct"/>
            <w:tcBorders>
              <w:top w:val="single" w:sz="6" w:space="0" w:color="000000"/>
              <w:left w:val="single" w:sz="6" w:space="0" w:color="000000"/>
              <w:bottom w:val="single" w:sz="6" w:space="0" w:color="000000"/>
              <w:right w:val="nil"/>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637C1" w:rsidTr="00C01E4A">
        <w:trPr>
          <w:trHeight w:val="240"/>
        </w:trPr>
        <w:tc>
          <w:tcPr>
            <w:tcW w:w="250" w:type="pct"/>
            <w:tcBorders>
              <w:top w:val="single" w:sz="6" w:space="0" w:color="000000"/>
              <w:left w:val="nil"/>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0" w:type="pct"/>
            <w:tcBorders>
              <w:top w:val="single" w:sz="6" w:space="0" w:color="000000"/>
              <w:left w:val="single" w:sz="6" w:space="0" w:color="000000"/>
              <w:bottom w:val="nil"/>
              <w:right w:val="single" w:sz="6" w:space="0" w:color="000000"/>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0" w:type="pct"/>
            <w:tcBorders>
              <w:top w:val="single" w:sz="6" w:space="0" w:color="000000"/>
              <w:left w:val="single" w:sz="6" w:space="0" w:color="000000"/>
              <w:bottom w:val="nil"/>
              <w:right w:val="nil"/>
            </w:tcBorders>
            <w:vAlign w:val="center"/>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4637C1" w:rsidRDefault="004637C1" w:rsidP="004637C1">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bl>
      <w:tblPr>
        <w:tblW w:w="5000" w:type="pct"/>
        <w:tblLayout w:type="fixed"/>
        <w:tblCellMar>
          <w:left w:w="0" w:type="dxa"/>
          <w:right w:w="0" w:type="dxa"/>
        </w:tblCellMar>
        <w:tblLook w:val="0000" w:firstRow="0" w:lastRow="0" w:firstColumn="0" w:lastColumn="0" w:noHBand="0" w:noVBand="0"/>
      </w:tblPr>
      <w:tblGrid>
        <w:gridCol w:w="4535"/>
        <w:gridCol w:w="1701"/>
        <w:gridCol w:w="3119"/>
      </w:tblGrid>
      <w:tr w:rsidR="004637C1" w:rsidTr="00C01E4A">
        <w:trPr>
          <w:trHeight w:val="240"/>
        </w:trPr>
        <w:tc>
          <w:tcPr>
            <w:tcW w:w="240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__________________</w:t>
            </w:r>
          </w:p>
        </w:tc>
        <w:tc>
          <w:tcPr>
            <w:tcW w:w="90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r>
      <w:tr w:rsidR="004637C1" w:rsidTr="00C01E4A">
        <w:trPr>
          <w:trHeight w:val="240"/>
        </w:trPr>
        <w:tc>
          <w:tcPr>
            <w:tcW w:w="2400" w:type="pct"/>
            <w:tcBorders>
              <w:top w:val="nil"/>
              <w:left w:val="nil"/>
              <w:bottom w:val="nil"/>
              <w:right w:val="nil"/>
            </w:tcBorders>
          </w:tcPr>
          <w:p w:rsidR="004637C1" w:rsidRDefault="004637C1" w:rsidP="00C01E4A">
            <w:pPr>
              <w:widowControl w:val="0"/>
              <w:autoSpaceDE w:val="0"/>
              <w:autoSpaceDN w:val="0"/>
              <w:adjustRightInd w:val="0"/>
              <w:spacing w:after="0" w:line="240" w:lineRule="auto"/>
              <w:ind w:firstLine="216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90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0" w:type="pct"/>
            <w:tcBorders>
              <w:top w:val="nil"/>
              <w:left w:val="nil"/>
              <w:bottom w:val="nil"/>
              <w:right w:val="nil"/>
            </w:tcBorders>
          </w:tcPr>
          <w:p w:rsidR="004637C1" w:rsidRDefault="004637C1" w:rsidP="00C01E4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4637C1" w:rsidRDefault="004637C1" w:rsidP="004637C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95250" cy="9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76FAA" w:rsidRDefault="00776FAA">
      <w:bookmarkStart w:id="17" w:name="_GoBack"/>
      <w:bookmarkEnd w:id="17"/>
    </w:p>
    <w:sectPr w:rsidR="00776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B9"/>
    <w:rsid w:val="00152EB9"/>
    <w:rsid w:val="004637C1"/>
    <w:rsid w:val="00776FAA"/>
    <w:rsid w:val="00A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0#1#0#0#CA0|&#1055;&#1054;&#1051;~~1|&#1055;&#1056;&#1051;~~2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0#1#0#0#CA0|&#1055;&#1054;&#1051;~~1|&#1055;&#1056;&#1051;~~1CN~|" TargetMode="External"/><Relationship Id="rId12"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0#1#0#0" TargetMode="External"/><Relationship Id="rId11" Type="http://schemas.openxmlformats.org/officeDocument/2006/relationships/hyperlink" Target="H#0#1#0#0" TargetMode="External"/><Relationship Id="rId5" Type="http://schemas.openxmlformats.org/officeDocument/2006/relationships/hyperlink" Target="H#0#1#1#86360#0" TargetMode="External"/><Relationship Id="rId10" Type="http://schemas.openxmlformats.org/officeDocument/2006/relationships/hyperlink" Target="H#0#1#0#0" TargetMode="External"/><Relationship Id="rId4" Type="http://schemas.openxmlformats.org/officeDocument/2006/relationships/webSettings" Target="webSettings.xml"/><Relationship Id="rId9" Type="http://schemas.openxmlformats.org/officeDocument/2006/relationships/hyperlink" Target="H#0#1#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7037</Characters>
  <Application>Microsoft Office Word</Application>
  <DocSecurity>0</DocSecurity>
  <Lines>58</Lines>
  <Paragraphs>16</Paragraphs>
  <ScaleCrop>false</ScaleCrop>
  <Company>Krokoz™</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Санников</dc:creator>
  <cp:keywords/>
  <dc:description/>
  <cp:lastModifiedBy>Вячеслав Санников</cp:lastModifiedBy>
  <cp:revision>2</cp:revision>
  <dcterms:created xsi:type="dcterms:W3CDTF">2015-03-05T14:01:00Z</dcterms:created>
  <dcterms:modified xsi:type="dcterms:W3CDTF">2015-03-05T14:02:00Z</dcterms:modified>
</cp:coreProperties>
</file>