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6D" w:rsidRDefault="0016726D">
      <w:pPr>
        <w:widowControl w:val="0"/>
        <w:autoSpaceDE w:val="0"/>
        <w:autoSpaceDN w:val="0"/>
        <w:adjustRightInd w:val="0"/>
        <w:spacing w:after="0" w:line="240" w:lineRule="auto"/>
        <w:rPr>
          <w:rFonts w:ascii="Times New Roman" w:hAnsi="Times New Roman" w:cs="Times New Roman"/>
          <w:color w:val="000000"/>
          <w:szCs w:val="24"/>
        </w:rPr>
      </w:pPr>
      <w:bookmarkStart w:id="0" w:name="_GoBack"/>
      <w:bookmarkEnd w:id="0"/>
    </w:p>
    <w:p w:rsidR="0016726D" w:rsidRDefault="0016726D">
      <w:pPr>
        <w:widowControl w:val="0"/>
        <w:autoSpaceDE w:val="0"/>
        <w:autoSpaceDN w:val="0"/>
        <w:adjustRightInd w:val="0"/>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ДИРЕКТИВА  ПРЕЗИДЕНТА РЕСПУБЛИКИ БЕЛАРУСЬ</w:t>
      </w:r>
    </w:p>
    <w:p w:rsidR="0016726D" w:rsidRDefault="0016726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июня 2007 г. № 3</w:t>
      </w:r>
    </w:p>
    <w:p w:rsidR="0016726D" w:rsidRDefault="0016726D">
      <w:pPr>
        <w:widowControl w:val="0"/>
        <w:autoSpaceDE w:val="0"/>
        <w:autoSpaceDN w:val="0"/>
        <w:adjustRightInd w:val="0"/>
        <w:spacing w:before="240" w:after="240" w:line="24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приоритетных направлениях укрепления экономической безопасности государства</w:t>
      </w:r>
      <w:r w:rsidR="00752637">
        <w:rPr>
          <w:rFonts w:ascii="Times New Roman" w:hAnsi="Times New Roman" w:cs="Times New Roman"/>
          <w:b/>
          <w:color w:val="000000"/>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p>
    <w:p w:rsidR="0016726D" w:rsidRDefault="0016726D">
      <w:pPr>
        <w:widowControl w:val="0"/>
        <w:autoSpaceDE w:val="0"/>
        <w:autoSpaceDN w:val="0"/>
        <w:adjustRightInd w:val="0"/>
        <w:spacing w:after="0" w:line="24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16726D" w:rsidRDefault="00752637">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8" w:anchor="P31600026" w:history="1">
        <w:r w:rsidR="0016726D">
          <w:rPr>
            <w:rFonts w:ascii="Times New Roman" w:hAnsi="Times New Roman" w:cs="Times New Roman"/>
            <w:color w:val="0000FF"/>
            <w:sz w:val="24"/>
            <w:szCs w:val="24"/>
          </w:rPr>
          <w:t>Указ Президента Республики Беларусь от 26 января 2016 г. № 26</w:t>
        </w:r>
      </w:hyperlink>
      <w:r w:rsidR="0016726D">
        <w:rPr>
          <w:rFonts w:ascii="Times New Roman" w:hAnsi="Times New Roman" w:cs="Times New Roman"/>
          <w:color w:val="000000"/>
          <w:sz w:val="24"/>
          <w:szCs w:val="24"/>
        </w:rPr>
        <w:t xml:space="preserve"> (Национальный правовой Интернет-портал Республики Беларусь, 28.01.2016, 1/16252) &lt;P31600026&gt;</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энерго- и ресурсосберегающих технологий.</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Однако экономика не смогла в полной мере среагировать на современные вызовы, обусловленные общемировыми кризисными явлениями, обострением межстрановой конкуренции и нарастающими противоречиями между интеграционными группировками стран.</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сфере экономической безопасности остается ряд проблем, требующих скорейшего решения.</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 Беларусь по производительности труда отстает от уровня Европейского союза почти в 4–5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По-прежнему актуальной является проблема высокой энерго-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10–15 лет и способствовать увеличению концентрации национальных интеллектуальных ресурсов в сфере научно-исследовательских и опытно-конструкторских (опытно-технологических) работ, интеграции в мировые технологические переделы, росту инвестиционных потоков и валового внутреннего продукта страны.</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Отсутствие значительного спроса на инновации в отраслях реального сектора, в </w:t>
      </w:r>
      <w:r>
        <w:rPr>
          <w:rFonts w:ascii="Times New Roman" w:hAnsi="Times New Roman" w:cs="Times New Roman"/>
          <w:color w:val="000000"/>
          <w:sz w:val="24"/>
          <w:szCs w:val="24"/>
        </w:rPr>
        <w:lastRenderedPageBreak/>
        <w:t>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энергетической безопасности должно осуществляться путем развития собственной энергосырьевой базы, диверсификации топливно-энергетических ресурсов по видам и странам, снижения энергоемкости валового внутреннего продукта.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укрепления экономической безопасности государства необходимо:</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 w:name="CA0|П~1~1CN~|point=1"/>
      <w:bookmarkEnd w:id="1"/>
      <w:r>
        <w:rPr>
          <w:rFonts w:ascii="Times New Roman" w:hAnsi="Times New Roman" w:cs="Times New Roman"/>
          <w:b/>
          <w:color w:val="000000"/>
          <w:sz w:val="24"/>
          <w:szCs w:val="24"/>
        </w:rPr>
        <w:t>1. Обеспечить планомерную диверсификацию экспорта</w:t>
      </w:r>
      <w:r>
        <w:rPr>
          <w:rFonts w:ascii="Times New Roman" w:hAnsi="Times New Roman" w:cs="Times New Roman"/>
          <w:color w:val="000000"/>
          <w:sz w:val="24"/>
          <w:szCs w:val="24"/>
        </w:rPr>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треть–треть–треть.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 w:name="CA0|П~1~1|ПП~1.1~1CN~|underpoint=1.1"/>
      <w:bookmarkEnd w:id="2"/>
      <w:r>
        <w:rPr>
          <w:rFonts w:ascii="Times New Roman" w:hAnsi="Times New Roman" w:cs="Times New Roman"/>
          <w:color w:val="000000"/>
          <w:sz w:val="24"/>
          <w:szCs w:val="24"/>
        </w:rPr>
        <w:t>1.1. осуществлять поиск и внедрение новых форм и методов продвижения белорусских товаров, работ и услуг на традиционные и новые рынки сбыта;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 w:name="CA0|П~1~1|ПП~1.2~2CN~|underpoint=1.2"/>
      <w:bookmarkEnd w:id="3"/>
      <w:r>
        <w:rPr>
          <w:rFonts w:ascii="Times New Roman" w:hAnsi="Times New Roman" w:cs="Times New Roman"/>
          <w:color w:val="000000"/>
          <w:sz w:val="24"/>
          <w:szCs w:val="24"/>
        </w:rPr>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 w:name="CA0|П~1~1|ПП~1.3~3CN~|underpoint=1.3"/>
      <w:bookmarkEnd w:id="4"/>
      <w:r>
        <w:rPr>
          <w:rFonts w:ascii="Times New Roman" w:hAnsi="Times New Roman" w:cs="Times New Roman"/>
          <w:color w:val="000000"/>
          <w:sz w:val="24"/>
          <w:szCs w:val="24"/>
        </w:rPr>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 w:name="CA0|П~1~1|ПП~1.4~4CN~|underpoint=1.4"/>
      <w:bookmarkEnd w:id="5"/>
      <w:r>
        <w:rPr>
          <w:rFonts w:ascii="Times New Roman" w:hAnsi="Times New Roman" w:cs="Times New Roman"/>
          <w:color w:val="000000"/>
          <w:sz w:val="24"/>
          <w:szCs w:val="24"/>
        </w:rPr>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 w:name="CA0|П~1~1|ПП~1.5~5CN~|underpoint=1.5"/>
      <w:bookmarkEnd w:id="6"/>
      <w:r>
        <w:rPr>
          <w:rFonts w:ascii="Times New Roman" w:hAnsi="Times New Roman" w:cs="Times New Roman"/>
          <w:color w:val="000000"/>
          <w:sz w:val="24"/>
          <w:szCs w:val="24"/>
        </w:rPr>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 w:name="CA0|П~1~1|ПП~1.6~6CN~|underpoint=1.6"/>
      <w:bookmarkEnd w:id="7"/>
      <w:r>
        <w:rPr>
          <w:rFonts w:ascii="Times New Roman" w:hAnsi="Times New Roman" w:cs="Times New Roman"/>
          <w:color w:val="000000"/>
          <w:sz w:val="24"/>
          <w:szCs w:val="24"/>
        </w:rPr>
        <w:t>1.6. расширять международную кооперацию путем создания долгосрочных альянсов различного типа (совместные производства за пределами Республики Беларусь, франчайзинговые, лицензионные и лизинговые соглашения и другое) в целях освоения передовых технологий, выпуска новых товаров и сопровождения их реализации сопутствующими услугами;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 w:name="CA0|П~1~1|ПП~1.7~7CN~|underpoint=1.7"/>
      <w:bookmarkEnd w:id="8"/>
      <w:r>
        <w:rPr>
          <w:rFonts w:ascii="Times New Roman" w:hAnsi="Times New Roman" w:cs="Times New Roman"/>
          <w:color w:val="000000"/>
          <w:sz w:val="24"/>
          <w:szCs w:val="24"/>
        </w:rPr>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 w:name="CA0|П~1~1|ПП~1.8~8CN~|underpoint=1.8"/>
      <w:bookmarkEnd w:id="9"/>
      <w:r>
        <w:rPr>
          <w:rFonts w:ascii="Times New Roman" w:hAnsi="Times New Roman" w:cs="Times New Roman"/>
          <w:color w:val="000000"/>
          <w:sz w:val="24"/>
          <w:szCs w:val="24"/>
        </w:rPr>
        <w:t xml:space="preserve">1.8. 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w:t>
      </w:r>
      <w:r>
        <w:rPr>
          <w:rFonts w:ascii="Times New Roman" w:hAnsi="Times New Roman" w:cs="Times New Roman"/>
          <w:color w:val="000000"/>
          <w:sz w:val="24"/>
          <w:szCs w:val="24"/>
        </w:rPr>
        <w:lastRenderedPageBreak/>
        <w:t>оборудования, патентов на производство новейших видов продукции, получения доступа к товаропроводящей сети транснациональных корпораций;</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 w:name="CA0|П~1~1|ПП~1.9~9CN~|underpoint=1.9"/>
      <w:bookmarkEnd w:id="10"/>
      <w:r>
        <w:rPr>
          <w:rFonts w:ascii="Times New Roman" w:hAnsi="Times New Roman" w:cs="Times New Roman"/>
          <w:color w:val="000000"/>
          <w:sz w:val="24"/>
          <w:szCs w:val="24"/>
        </w:rPr>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b/>
          <w:color w:val="000000"/>
          <w:sz w:val="24"/>
          <w:szCs w:val="24"/>
        </w:rPr>
      </w:pPr>
      <w:bookmarkStart w:id="11" w:name="CA0|П~2~2CN~|point=2"/>
      <w:bookmarkEnd w:id="11"/>
      <w:r>
        <w:rPr>
          <w:rFonts w:ascii="Times New Roman" w:hAnsi="Times New Roman" w:cs="Times New Roman"/>
          <w:b/>
          <w:color w:val="000000"/>
          <w:sz w:val="24"/>
          <w:szCs w:val="24"/>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 w:name="CA0|П~2~2|ПП~2.1~10CN~|underpoint=2.1"/>
      <w:bookmarkEnd w:id="12"/>
      <w:r>
        <w:rPr>
          <w:rFonts w:ascii="Times New Roman" w:hAnsi="Times New Roman" w:cs="Times New Roman"/>
          <w:color w:val="000000"/>
          <w:sz w:val="24"/>
          <w:szCs w:val="24"/>
        </w:rPr>
        <w:t>2.1. обеспечить повышение роли и вклада научного сообщества в решение государственно значимых задач;</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 w:name="CA0|П~2~2|ПП~2.2~11CN~|underpoint=2.2"/>
      <w:bookmarkEnd w:id="13"/>
      <w:r>
        <w:rPr>
          <w:rFonts w:ascii="Times New Roman" w:hAnsi="Times New Roman" w:cs="Times New Roman"/>
          <w:color w:val="000000"/>
          <w:sz w:val="24"/>
          <w:szCs w:val="24"/>
        </w:rPr>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 w:name="CA0|П~2~2|ПП~2.3~12CN~|underpoint=2.3"/>
      <w:bookmarkEnd w:id="14"/>
      <w:r>
        <w:rPr>
          <w:rFonts w:ascii="Times New Roman" w:hAnsi="Times New Roman" w:cs="Times New Roman"/>
          <w:color w:val="000000"/>
          <w:sz w:val="24"/>
          <w:szCs w:val="24"/>
        </w:rPr>
        <w:t>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био- и нанотехнологий, информационных технологий, новых материалов с заданным уровнем свойств;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 w:name="CA0|П~2~2|ПП~2.4~13CN~|underpoint=2.4"/>
      <w:bookmarkEnd w:id="15"/>
      <w:r>
        <w:rPr>
          <w:rFonts w:ascii="Times New Roman" w:hAnsi="Times New Roman" w:cs="Times New Roman"/>
          <w:color w:val="000000"/>
          <w:sz w:val="24"/>
          <w:szCs w:val="24"/>
        </w:rPr>
        <w:t>2.4. обеспечить формирование и развитие системы государственно-частного партнерства, предусматривающей вовлечение частного бизнеса в процесс создания инновационно ориентированной экономики;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 w:name="CA0|П~2~2|ПП~2.5~14CN~|underpoint=2.5"/>
      <w:bookmarkEnd w:id="16"/>
      <w:r>
        <w:rPr>
          <w:rFonts w:ascii="Times New Roman" w:hAnsi="Times New Roman" w:cs="Times New Roman"/>
          <w:color w:val="000000"/>
          <w:sz w:val="24"/>
          <w:szCs w:val="24"/>
        </w:rPr>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 w:name="CA0|П~2~2|ПП~2.6~15CN~|underpoint=2.6"/>
      <w:bookmarkEnd w:id="17"/>
      <w:r>
        <w:rPr>
          <w:rFonts w:ascii="Times New Roman" w:hAnsi="Times New Roman" w:cs="Times New Roman"/>
          <w:color w:val="000000"/>
          <w:sz w:val="24"/>
          <w:szCs w:val="24"/>
        </w:rPr>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 w:name="CA0|П~2~2|ПП~2.7~16CN~|underpoint=2.7"/>
      <w:bookmarkEnd w:id="18"/>
      <w:r>
        <w:rPr>
          <w:rFonts w:ascii="Times New Roman" w:hAnsi="Times New Roman" w:cs="Times New Roman"/>
          <w:color w:val="000000"/>
          <w:sz w:val="24"/>
          <w:szCs w:val="24"/>
        </w:rPr>
        <w:t xml:space="preserve">2.7. в целях реализации задач, определенных </w:t>
      </w:r>
      <w:hyperlink r:id="rId9" w:anchor="&amp;UnderPoint=2.1" w:history="1">
        <w:r>
          <w:rPr>
            <w:rFonts w:ascii="Times New Roman" w:hAnsi="Times New Roman" w:cs="Times New Roman"/>
            <w:color w:val="0000FF"/>
            <w:sz w:val="24"/>
            <w:szCs w:val="24"/>
          </w:rPr>
          <w:t>подпунктами 2.1–2.6</w:t>
        </w:r>
      </w:hyperlink>
      <w:r>
        <w:rPr>
          <w:rFonts w:ascii="Times New Roman" w:hAnsi="Times New Roman" w:cs="Times New Roman"/>
          <w:color w:val="000000"/>
          <w:sz w:val="24"/>
          <w:szCs w:val="24"/>
        </w:rPr>
        <w:t xml:space="preserve"> настоящего пункта, Совету Министров Республики Беларусь принять системные меры по:</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инновационно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 продукции, до 21 процента;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наращиванию бюджетных расходов на научную, научно-техническую и инновационную деятельность до 1 процента от валового внутреннего продукта;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формированию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обеспечению ускоренного развития Парка высоких технологий, Китайско-Белорусского индустриального парка «Индустриальный парк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созданию условий для организации бизнес-инкубирования микро-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внедрению в практику управления и хозяйствования новых для нашей страны форм интеграции науки, образования и производства на базе организаций всех форм </w:t>
      </w:r>
      <w:r>
        <w:rPr>
          <w:rFonts w:ascii="Times New Roman" w:hAnsi="Times New Roman" w:cs="Times New Roman"/>
          <w:color w:val="000000"/>
          <w:sz w:val="24"/>
          <w:szCs w:val="24"/>
        </w:rPr>
        <w:lastRenderedPageBreak/>
        <w:t>собственности (кластеры, технологические платформы);</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ускоренному развитию материально-технической базы и повышению эффективности деятельности центров коллективного пользования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созданию условий для развития изобретательства и технического творчества молодежи;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созданию условий для трансфера и коммерциализации технологий, созданных в Республике Беларусь и за рубежом;</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развитию и государственной поддержке стартап-движения,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увеличению численности исследователей до 22 человек на 10 тыс. населения;</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обеспечению к 2020 году роста удельного веса: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внебюджетных источников во внутренних затратах на научные исследования и разработки до 60 процентов;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экспорта наукоемкой и высокотехнологичной продукции в общем объеме белорусского экспорта до 20 процентов;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высокотехнологичных видов деятельности в общем объеме промышленного производства до 4–6 процентов.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b/>
          <w:color w:val="000000"/>
          <w:sz w:val="24"/>
          <w:szCs w:val="24"/>
        </w:rPr>
      </w:pPr>
      <w:bookmarkStart w:id="19" w:name="CA0|П~3~3CN~|point=3"/>
      <w:bookmarkEnd w:id="19"/>
      <w:r>
        <w:rPr>
          <w:rFonts w:ascii="Times New Roman" w:hAnsi="Times New Roman" w:cs="Times New Roman"/>
          <w:b/>
          <w:color w:val="000000"/>
          <w:sz w:val="24"/>
          <w:szCs w:val="24"/>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 w:name="CA0|П~3~3|ПП~3.1~17CN~|underpoint=3.1"/>
      <w:bookmarkEnd w:id="20"/>
      <w:r>
        <w:rPr>
          <w:rFonts w:ascii="Times New Roman" w:hAnsi="Times New Roman" w:cs="Times New Roman"/>
          <w:color w:val="000000"/>
          <w:sz w:val="24"/>
          <w:szCs w:val="24"/>
        </w:rPr>
        <w:t>3.1. принять меры по:</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энергоэффективности производства;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 w:name="CA0|П~3~3|ПП~3.2~18CN~|underpoint=3.2"/>
      <w:bookmarkEnd w:id="21"/>
      <w:r>
        <w:rPr>
          <w:rFonts w:ascii="Times New Roman" w:hAnsi="Times New Roman" w:cs="Times New Roman"/>
          <w:color w:val="000000"/>
          <w:sz w:val="24"/>
          <w:szCs w:val="24"/>
        </w:rPr>
        <w:t>3.2. продолжить системную работу в промышленных организациях по снижению всех видов затрат на производство продукции путем:</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вовлечения в хозяйственный оборот неиспользуемого или неэффективно используемого имущества;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внедрения современных систем управления ресурсами в крупных организациях с численностью работников более 1000 человек и иных организациях;</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оптимизации производства, управления организацией, реализации продукции и стратегии </w:t>
      </w:r>
      <w:r>
        <w:rPr>
          <w:rFonts w:ascii="Times New Roman" w:hAnsi="Times New Roman" w:cs="Times New Roman"/>
          <w:color w:val="000000"/>
          <w:sz w:val="24"/>
          <w:szCs w:val="24"/>
        </w:rPr>
        <w:lastRenderedPageBreak/>
        <w:t>развития;</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b/>
          <w:color w:val="000000"/>
          <w:sz w:val="24"/>
          <w:szCs w:val="24"/>
        </w:rPr>
      </w:pPr>
      <w:bookmarkStart w:id="22" w:name="CA0|П~4~4CN~|point=4"/>
      <w:bookmarkEnd w:id="22"/>
      <w:r>
        <w:rPr>
          <w:rFonts w:ascii="Times New Roman" w:hAnsi="Times New Roman" w:cs="Times New Roman"/>
          <w:b/>
          <w:color w:val="000000"/>
          <w:sz w:val="24"/>
          <w:szCs w:val="24"/>
        </w:rPr>
        <w:t>4. Обеспечить повышение уровня энергетической безопасности страны. В этих целях:</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 w:name="CA0|П~4~4|ПП~4.1~19CN~|underpoint=4.1"/>
      <w:bookmarkEnd w:id="23"/>
      <w:r>
        <w:rPr>
          <w:rFonts w:ascii="Times New Roman" w:hAnsi="Times New Roman" w:cs="Times New Roman"/>
          <w:color w:val="000000"/>
          <w:sz w:val="24"/>
          <w:szCs w:val="24"/>
        </w:rPr>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 w:name="CA0|П~4~4|ПП~4.2~20CN~|underpoint=4.2"/>
      <w:bookmarkEnd w:id="24"/>
      <w:r>
        <w:rPr>
          <w:rFonts w:ascii="Times New Roman" w:hAnsi="Times New Roman" w:cs="Times New Roman"/>
          <w:color w:val="000000"/>
          <w:sz w:val="24"/>
          <w:szCs w:val="24"/>
        </w:rPr>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 w:name="CA0|П~4~4|ПП~4.3~21CN~|underpoint=4.3"/>
      <w:bookmarkEnd w:id="25"/>
      <w:r>
        <w:rPr>
          <w:rFonts w:ascii="Times New Roman" w:hAnsi="Times New Roman" w:cs="Times New Roman"/>
          <w:color w:val="000000"/>
          <w:sz w:val="24"/>
          <w:szCs w:val="24"/>
        </w:rPr>
        <w:t>4.3. Совету Министров Республики Беларусь:</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определить индикаторы энергетической безопасности, их уровни и принять меры по их достижению;</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выработать действенные меры по стимулированию энергосбережения, в том числе механизмы финансовой поддержки при реализации энергоэффективных мероприятий;</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меры по обеспечению:</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снижения рисков и недопущения кризисных ситуаций 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 до 5 млрд. куб. метров импортируемого природного газа;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энергоэффективных технологий, вывода из эксплуатации физически и морально устаревшего оборудования;</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энергоэффективных технологий, энергосберегающего оборудования, приборов и материалов, повышения уровня энергоэффективности посредством технического нормирования, стандартизации, обеспечения единства измерений, оценки соответствия;</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w:t>
      </w:r>
      <w:r>
        <w:rPr>
          <w:rFonts w:ascii="Times New Roman" w:hAnsi="Times New Roman" w:cs="Times New Roman"/>
          <w:color w:val="000000"/>
          <w:sz w:val="24"/>
          <w:szCs w:val="24"/>
        </w:rPr>
        <w:lastRenderedPageBreak/>
        <w:t>энергии;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эффективного государственного контроля в сфере рационального использования топливно-энергетических ресурсов;</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строительства локальных энергоисточников с использованием импортируемого топлива, в том числе с комбинированной выработкой тепловой и электрической энергии, в 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 с облисполкомами и Минским горисполкомом продолжить внедрение в практику проектирования и строительства многоэтажных энергоэффективных жилых домов современных инновационных технологий и оборудования, в том числе основанных на возобновляемых источниках энергии;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широко пропагандировать среди населения необходимость соблюдения режима экономии и бережливости;</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 с Национальной академией наук Беларуси и другими заинтересованными обеспечить:</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энерго- и ресурсосберегающих технологий добычи, производства, преобразования, транспортировки и комплексного использования топливно-энергетических и материальных ресурсов, полезных ископаемых;</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и реализацию в 2016–2020 годах 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электротехнологий, а также по выравниванию графиков электрических нагрузок в отраслях экономики и социальной сфере.</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 w:name="CA0|П~5~5CN~|point=5"/>
      <w:bookmarkEnd w:id="26"/>
      <w:r>
        <w:rPr>
          <w:rFonts w:ascii="Times New Roman" w:hAnsi="Times New Roman" w:cs="Times New Roman"/>
          <w:color w:val="000000"/>
          <w:sz w:val="24"/>
          <w:szCs w:val="24"/>
        </w:rPr>
        <w:t>5. Совету Министров Республики Беларусь в трехмесячный срок утвердить план мероприятий по реализации положений настоящей Директивы.</w: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 w:name="CA0|П~6~6CN~|point=6"/>
      <w:bookmarkEnd w:id="27"/>
      <w:r>
        <w:rPr>
          <w:rFonts w:ascii="Times New Roman" w:hAnsi="Times New Roman" w:cs="Times New Roman"/>
          <w:color w:val="000000"/>
          <w:sz w:val="24"/>
          <w:szCs w:val="24"/>
        </w:rPr>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r w:rsidR="00752637">
        <w:rPr>
          <w:rFonts w:ascii="Times New Roman" w:hAnsi="Times New Roman" w:cs="Times New Roman"/>
          <w:color w:val="000000"/>
          <w:sz w:val="24"/>
          <w:szCs w:val="24"/>
        </w:rPr>
        <w:pict>
          <v:shape id="_x0000_i1026" type="#_x0000_t75" style="width:7.5pt;height:7.5pt">
            <v:imagedata r:id="rId7" o:title=""/>
          </v:shape>
        </w:pict>
      </w:r>
    </w:p>
    <w:p w:rsidR="0016726D" w:rsidRDefault="0016726D">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6726D">
        <w:tc>
          <w:tcPr>
            <w:tcW w:w="2500" w:type="pct"/>
            <w:tcBorders>
              <w:top w:val="nil"/>
              <w:left w:val="nil"/>
              <w:bottom w:val="nil"/>
              <w:right w:val="nil"/>
            </w:tcBorders>
            <w:vAlign w:val="bottom"/>
          </w:tcPr>
          <w:p w:rsidR="0016726D" w:rsidRDefault="0016726D">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16726D" w:rsidRDefault="0016726D">
            <w:pPr>
              <w:widowControl w:val="0"/>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16726D" w:rsidRDefault="0016726D">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15D7B" w:rsidRPr="0016726D" w:rsidRDefault="00815D7B" w:rsidP="0016726D"/>
    <w:sectPr w:rsidR="00815D7B" w:rsidRPr="0016726D" w:rsidSect="00BF098F">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637" w:rsidRDefault="00752637">
      <w:pPr>
        <w:spacing w:after="0" w:line="240" w:lineRule="auto"/>
      </w:pPr>
      <w:r>
        <w:separator/>
      </w:r>
    </w:p>
  </w:endnote>
  <w:endnote w:type="continuationSeparator" w:id="0">
    <w:p w:rsidR="00752637" w:rsidRDefault="0075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16726D"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06.06.2016</w:t>
          </w:r>
        </w:p>
      </w:tc>
      <w:tc>
        <w:tcPr>
          <w:tcW w:w="1381" w:type="pct"/>
        </w:tcPr>
        <w:p w:rsidR="00D96E53" w:rsidRPr="009D1F4C" w:rsidRDefault="0016726D"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9D1F4C">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9D1F4C">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9D1F4C">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16726D"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sidRPr="00D96E53">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9D1F4C">
            <w:rPr>
              <w:rFonts w:ascii="Times New Roman" w:hAnsi="Times New Roman" w:cs="Times New Roman"/>
              <w:noProof/>
              <w:sz w:val="14"/>
              <w:szCs w:val="14"/>
            </w:rPr>
            <w:t>2</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9D1F4C">
            <w:rPr>
              <w:rFonts w:ascii="Times New Roman" w:hAnsi="Times New Roman" w:cs="Times New Roman"/>
              <w:noProof/>
              <w:sz w:val="14"/>
              <w:szCs w:val="14"/>
            </w:rPr>
            <w:t>6</w:t>
          </w:r>
          <w:r w:rsidRPr="00D96E53">
            <w:rPr>
              <w:rFonts w:ascii="Times New Roman" w:hAnsi="Times New Roman" w:cs="Times New Roman"/>
              <w:sz w:val="14"/>
              <w:szCs w:val="14"/>
            </w:rPr>
            <w:fldChar w:fldCharType="end"/>
          </w:r>
        </w:p>
      </w:tc>
    </w:tr>
  </w:tbl>
  <w:p w:rsidR="009E3A2F" w:rsidRPr="00C52F8F" w:rsidRDefault="00752637" w:rsidP="0050153E">
    <w:pPr>
      <w:autoSpaceDE w:val="0"/>
      <w:autoSpaceDN w:val="0"/>
      <w:adjustRightInd w:val="0"/>
      <w:spacing w:after="0" w:line="240" w:lineRule="auto"/>
      <w:rPr>
        <w:rFonts w:ascii="Times New Roman" w:hAnsi="Times New Roman" w:cs="Times New Roman"/>
        <w:bCs/>
        <w:color w:val="000000"/>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637" w:rsidRDefault="00752637">
      <w:pPr>
        <w:spacing w:after="0" w:line="240" w:lineRule="auto"/>
      </w:pPr>
      <w:r>
        <w:separator/>
      </w:r>
    </w:p>
  </w:footnote>
  <w:footnote w:type="continuationSeparator" w:id="0">
    <w:p w:rsidR="00752637" w:rsidRDefault="00752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B" w:rsidRDefault="00752637" w:rsidP="00D66DF3">
    <w:pPr>
      <w:autoSpaceDE w:val="0"/>
      <w:autoSpaceDN w:val="0"/>
      <w:adjustRightInd w:val="0"/>
      <w:spacing w:after="0" w:line="240" w:lineRule="auto"/>
      <w:rPr>
        <w:rFonts w:ascii="Times New Roman" w:hAnsi="Times New Roman" w:cs="Times New Roman"/>
        <w:sz w:val="14"/>
        <w:szCs w:val="14"/>
        <w:lang w:val="en-US"/>
      </w:rPr>
    </w:pPr>
  </w:p>
  <w:p w:rsidR="009E3A2F" w:rsidRDefault="00752637" w:rsidP="00D66DF3">
    <w:pPr>
      <w:autoSpaceDE w:val="0"/>
      <w:autoSpaceDN w:val="0"/>
      <w:adjustRightInd w:val="0"/>
      <w:spacing w:after="0" w:line="240" w:lineRule="auto"/>
      <w:rPr>
        <w:rFonts w:ascii="Times New Roman" w:hAnsi="Times New Roman" w:cs="Times New Roman"/>
        <w:sz w:val="14"/>
        <w:szCs w:val="14"/>
        <w:lang w:val="en-US"/>
      </w:rPr>
    </w:pPr>
  </w:p>
  <w:tbl>
    <w:tblPr>
      <w:tblW w:w="4875" w:type="pct"/>
      <w:tblLook w:val="01E0" w:firstRow="1" w:lastRow="1" w:firstColumn="1" w:lastColumn="1" w:noHBand="0" w:noVBand="0"/>
    </w:tblPr>
    <w:tblGrid>
      <w:gridCol w:w="7795"/>
      <w:gridCol w:w="1537"/>
    </w:tblGrid>
    <w:tr w:rsidR="00B84B94" w:rsidTr="009F1F6F">
      <w:tc>
        <w:tcPr>
          <w:tcW w:w="7788" w:type="dxa"/>
        </w:tcPr>
        <w:p w:rsidR="00B84B94" w:rsidRPr="003441B7" w:rsidRDefault="0016726D" w:rsidP="00B84B94">
          <w:pPr>
            <w:autoSpaceDE w:val="0"/>
            <w:autoSpaceDN w:val="0"/>
            <w:adjustRightInd w:val="0"/>
            <w:spacing w:after="0" w:line="240" w:lineRule="auto"/>
            <w:jc w:val="both"/>
            <w:rPr>
              <w:rFonts w:ascii="Times New Roman" w:hAnsi="Times New Roman" w:cs="Times New Roman"/>
              <w:sz w:val="14"/>
              <w:szCs w:val="14"/>
            </w:rPr>
          </w:pPr>
          <w:r w:rsidRPr="009D1F4C">
            <w:rPr>
              <w:rFonts w:ascii="Times New Roman" w:hAnsi="Times New Roman" w:cs="Times New Roman"/>
              <w:color w:val="000000"/>
              <w:sz w:val="14"/>
              <w:szCs w:val="14"/>
            </w:rPr>
            <w:t>Директива от 14.06.2007 № 3 «О приоритетных направлениях укрепления экономической безопасности государства»</w:t>
          </w:r>
        </w:p>
      </w:tc>
      <w:tc>
        <w:tcPr>
          <w:tcW w:w="1536" w:type="dxa"/>
        </w:tcPr>
        <w:p w:rsidR="00B84B94" w:rsidRDefault="0016726D"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07.06.2016</w:t>
          </w:r>
        </w:p>
      </w:tc>
    </w:tr>
  </w:tbl>
  <w:p w:rsidR="00B84B94" w:rsidRPr="001E221B" w:rsidRDefault="00752637" w:rsidP="00D66DF3">
    <w:pPr>
      <w:autoSpaceDE w:val="0"/>
      <w:autoSpaceDN w:val="0"/>
      <w:adjustRightInd w:val="0"/>
      <w:spacing w:after="0" w:line="240" w:lineRule="auto"/>
      <w:rPr>
        <w:rFonts w:ascii="Times New Roman" w:hAnsi="Times New Roman" w:cs="Times New Roman"/>
        <w:sz w:val="14"/>
        <w:szCs w:val="1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6D"/>
    <w:rsid w:val="0016726D"/>
    <w:rsid w:val="00752637"/>
    <w:rsid w:val="00815D7B"/>
    <w:rsid w:val="009D1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annikov\E\&#1052;&#1086;&#1080;%20&#1076;&#1086;&#1082;&#1091;&#1084;&#1077;&#1085;&#1090;&#1099;\&#1050;&#1086;&#1084;&#1101;&#1085;&#1077;&#1088;&#1075;&#1086;&#1101;&#1092;-&#1090;&#1100;\&#1057;&#1040;&#1049;&#1058;\&#1055;&#1086;&#1087;&#1086;&#1083;&#1085;&#1077;&#1085;&#1080;&#1077;2016\&#1055;&#1086;&#1087;&#1086;&#1083;&#1085;_2&#1082;&#1074;2016\&#1055;&#1086;&#1087;&#1086;&#1083;&#1085;_&#1080;&#1102;&#1085;&#1100;2016\&#1055;&#1086;&#1087;&#1086;&#1083;&#1085;113_21&#1080;&#1102;&#1085;&#1103;2016\&#1048;&#1079;&#1084;&#1077;&#1085;&#1077;&#1085;&#1080;&#1103;%20&#1085;&#1072;%20&#1089;&#1072;&#1081;&#1090;20062016\NCP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Sannikov\E\&#1052;&#1086;&#1080;%20&#1076;&#1086;&#1082;&#1091;&#1084;&#1077;&#1085;&#1090;&#1099;\&#1050;&#1086;&#1084;&#1101;&#1085;&#1077;&#1088;&#1075;&#1086;&#1101;&#1092;-&#1090;&#1100;\&#1057;&#1040;&#1049;&#1058;\&#1055;&#1086;&#1087;&#1086;&#1083;&#1085;&#1077;&#1085;&#1080;&#1077;2016\&#1055;&#1086;&#1087;&#1086;&#1083;&#1085;_2&#1082;&#1074;2016\&#1055;&#1086;&#1087;&#1086;&#1083;&#1085;_&#1080;&#1102;&#1085;&#1100;2016\&#1055;&#1086;&#1087;&#1086;&#1083;&#1085;113_21&#1080;&#1102;&#1085;&#1103;2016\&#1048;&#1079;&#1084;&#1077;&#1085;&#1077;&#1085;&#1080;&#1103;%20&#1085;&#1072;%20&#1089;&#1072;&#1081;&#1090;20062016\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2953</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Mikrosoft</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Вячеслав Санников</cp:lastModifiedBy>
  <cp:revision>2</cp:revision>
  <dcterms:created xsi:type="dcterms:W3CDTF">2016-06-20T13:51:00Z</dcterms:created>
  <dcterms:modified xsi:type="dcterms:W3CDTF">2016-06-20T13:51:00Z</dcterms:modified>
</cp:coreProperties>
</file>